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3351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4D00"/>
          <w:sz w:val="32"/>
          <w:szCs w:val="24"/>
        </w:rPr>
      </w:pPr>
      <w:bookmarkStart w:id="0" w:name="_GoBack"/>
      <w:bookmarkEnd w:id="0"/>
      <w:r w:rsidRPr="00997AC1">
        <w:rPr>
          <w:rFonts w:ascii="MyriadPro-Bold" w:hAnsi="MyriadPro-Bold" w:cs="MyriadPro-Bold"/>
          <w:b/>
          <w:bCs/>
          <w:color w:val="FF4D00"/>
          <w:sz w:val="32"/>
          <w:szCs w:val="24"/>
        </w:rPr>
        <w:t>DexaPico*</w:t>
      </w:r>
    </w:p>
    <w:p w14:paraId="7C503352" w14:textId="77777777" w:rsidR="005E3AF2" w:rsidRPr="00997AC1" w:rsidRDefault="00997AC1" w:rsidP="00997AC1">
      <w:pPr>
        <w:rPr>
          <w:rFonts w:ascii="MyriadPro-Regular" w:hAnsi="MyriadPro-Regular" w:cs="MyriadPro-Regular"/>
          <w:color w:val="000000"/>
          <w:sz w:val="26"/>
          <w:szCs w:val="18"/>
        </w:rPr>
      </w:pPr>
      <w:r w:rsidRPr="00997AC1">
        <w:rPr>
          <w:rFonts w:ascii="MyriadPro-Regular" w:hAnsi="MyriadPro-Regular" w:cs="MyriadPro-Regular"/>
          <w:color w:val="000000"/>
          <w:sz w:val="26"/>
          <w:szCs w:val="18"/>
        </w:rPr>
        <w:t>Syrop 115 ml</w:t>
      </w:r>
    </w:p>
    <w:p w14:paraId="7C503353" w14:textId="77777777" w:rsidR="00997AC1" w:rsidRDefault="00997AC1" w:rsidP="00997AC1">
      <w:pPr>
        <w:rPr>
          <w:rFonts w:ascii="MyriadPro-Regular" w:hAnsi="MyriadPro-Regular" w:cs="MyriadPro-Regular"/>
          <w:color w:val="000000"/>
          <w:sz w:val="26"/>
          <w:szCs w:val="18"/>
        </w:rPr>
      </w:pPr>
    </w:p>
    <w:p w14:paraId="7C503354" w14:textId="77777777" w:rsidR="00997AC1" w:rsidRPr="00997AC1" w:rsidRDefault="00997AC1" w:rsidP="00997AC1">
      <w:pPr>
        <w:rPr>
          <w:rFonts w:ascii="MyriadPro-Regular" w:hAnsi="MyriadPro-Regular" w:cs="MyriadPro-Regular"/>
          <w:color w:val="000000"/>
          <w:sz w:val="26"/>
          <w:szCs w:val="18"/>
        </w:rPr>
      </w:pPr>
      <w:r w:rsidRPr="00997AC1">
        <w:rPr>
          <w:rFonts w:ascii="MyriadPro-Regular" w:hAnsi="MyriadPro-Regular" w:cs="MyriadPro-Regular"/>
          <w:noProof/>
          <w:color w:val="000000"/>
          <w:sz w:val="26"/>
          <w:szCs w:val="18"/>
          <w:lang w:eastAsia="pl-PL"/>
        </w:rPr>
        <w:drawing>
          <wp:inline distT="0" distB="0" distL="0" distR="0" wp14:anchorId="7C503365" wp14:editId="7C503366">
            <wp:extent cx="2362401" cy="30135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58" cy="301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3355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BoldCond" w:hAnsi="MyriadPro-BoldCond" w:cs="MyriadPro-BoldCond"/>
          <w:b/>
          <w:bCs/>
          <w:color w:val="FF4D00"/>
          <w:sz w:val="18"/>
          <w:szCs w:val="10"/>
        </w:rPr>
        <w:t>DexaPico. Skład i postać</w:t>
      </w:r>
      <w:r w:rsidRPr="00997AC1">
        <w:rPr>
          <w:rFonts w:ascii="MyriadPro-Cond" w:hAnsi="MyriadPro-Cond" w:cs="MyriadPro-Cond"/>
          <w:color w:val="000000"/>
          <w:sz w:val="18"/>
          <w:szCs w:val="10"/>
        </w:rPr>
        <w:t>: 100 g syropu zawiera: 0,10 g bromowodorku dekstrometorfanu, 25,00 g wyciągu</w:t>
      </w:r>
    </w:p>
    <w:p w14:paraId="7C503356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wodnego z kwiatostanu lipy. 5 ml syropu zawiera 6,5 mg dekstrometorfanu bromowodorku. Substancje</w:t>
      </w:r>
    </w:p>
    <w:p w14:paraId="7C503357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 xml:space="preserve">pomocnicze o znanym działaniu: sacharoza 3,9 g w 5 ml syropu. Syrop. </w:t>
      </w:r>
      <w:r w:rsidRPr="00997AC1">
        <w:rPr>
          <w:rFonts w:ascii="MyriadPro-BoldCond" w:hAnsi="MyriadPro-BoldCond" w:cs="MyriadPro-BoldCond"/>
          <w:b/>
          <w:bCs/>
          <w:color w:val="FF4D00"/>
          <w:sz w:val="18"/>
          <w:szCs w:val="10"/>
        </w:rPr>
        <w:t>Wskazania</w:t>
      </w:r>
      <w:r w:rsidRPr="00997AC1">
        <w:rPr>
          <w:rFonts w:ascii="MyriadPro-Cond" w:hAnsi="MyriadPro-Cond" w:cs="MyriadPro-Cond"/>
          <w:color w:val="000000"/>
          <w:sz w:val="18"/>
          <w:szCs w:val="10"/>
        </w:rPr>
        <w:t>: W stanach męczącego</w:t>
      </w:r>
    </w:p>
    <w:p w14:paraId="7C503358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suchego kaszlu różnego pochodzenia, niezwiązanego z zaleganiem wydzieliny w drogach oddechowych.</w:t>
      </w:r>
    </w:p>
    <w:p w14:paraId="7C503359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BoldCond" w:hAnsi="MyriadPro-BoldCond" w:cs="MyriadPro-BoldCond"/>
          <w:b/>
          <w:bCs/>
          <w:color w:val="FF4D00"/>
          <w:sz w:val="18"/>
          <w:szCs w:val="10"/>
        </w:rPr>
        <w:t>Przeciwwskazania</w:t>
      </w:r>
      <w:r w:rsidRPr="00997AC1">
        <w:rPr>
          <w:rFonts w:ascii="MyriadPro-Cond" w:hAnsi="MyriadPro-Cond" w:cs="MyriadPro-Cond"/>
          <w:color w:val="000000"/>
          <w:sz w:val="18"/>
          <w:szCs w:val="10"/>
        </w:rPr>
        <w:t>: Nadwrażliwość na substancje czynne lub na którąkolwiek substancję pomocniczą. Kaszel</w:t>
      </w:r>
    </w:p>
    <w:p w14:paraId="7C50335A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z dużą ilością wydzieliny. Astma oskrzelowa. Niewydolność oddechowa lub ryzyko jej wystąpienia. Ciężka</w:t>
      </w:r>
    </w:p>
    <w:p w14:paraId="7C50335B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niewydolność wątroby. Nie stosować podczas jednoczesnego przyjmowania inhibitorów MAO i w okresie do</w:t>
      </w:r>
    </w:p>
    <w:p w14:paraId="7C50335C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14 dni po ich odstawieniu. U pacjentów przyjmujących jednocześnie inhibitory MAO wraz z dekstrometorfanem</w:t>
      </w:r>
    </w:p>
    <w:p w14:paraId="7C50335D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bromowodorku odnotowywano ciężkie działania niepożądane, a czasami występowały przypadki</w:t>
      </w:r>
    </w:p>
    <w:p w14:paraId="7C50335E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śmiertelne. Pacjenci przyjmujący selektywne inhibitory wychwytu zwrotnego serotoniny (SSRI). Produktu</w:t>
      </w:r>
    </w:p>
    <w:p w14:paraId="7C50335F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 xml:space="preserve">leczniczego nie stosować jednocześnie z lekami mukolitycznymi. </w:t>
      </w:r>
      <w:r w:rsidRPr="00997AC1">
        <w:rPr>
          <w:rFonts w:ascii="MyriadPro-BoldCond" w:hAnsi="MyriadPro-BoldCond" w:cs="MyriadPro-BoldCond"/>
          <w:b/>
          <w:bCs/>
          <w:color w:val="FF4D00"/>
          <w:sz w:val="18"/>
          <w:szCs w:val="10"/>
        </w:rPr>
        <w:t>Podmiot odpowiedzialny</w:t>
      </w:r>
      <w:r w:rsidRPr="00997AC1">
        <w:rPr>
          <w:rFonts w:ascii="MyriadPro-Cond" w:hAnsi="MyriadPro-Cond" w:cs="MyriadPro-Cond"/>
          <w:color w:val="000000"/>
          <w:sz w:val="18"/>
          <w:szCs w:val="10"/>
        </w:rPr>
        <w:t>: Herbapol -</w:t>
      </w:r>
    </w:p>
    <w:p w14:paraId="7C503360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Lublin S.A. Dodatkowych informacji o leku udziela: Polpharma Biuro Handlowe Sp. z o.o., ul. Bobrowiecka 6,</w:t>
      </w:r>
    </w:p>
    <w:p w14:paraId="7C503361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0"/>
        </w:rPr>
      </w:pPr>
      <w:r w:rsidRPr="00997AC1">
        <w:rPr>
          <w:rFonts w:ascii="MyriadPro-Cond" w:hAnsi="MyriadPro-Cond" w:cs="MyriadPro-Cond"/>
          <w:color w:val="000000"/>
          <w:sz w:val="18"/>
          <w:szCs w:val="10"/>
        </w:rPr>
        <w:t>00-728 Warszawa, tel.: +48 22 364 61 00; faks: +48 22 364 61 02; www.polpharma.pl. ChPL: 2017.03.22.</w:t>
      </w:r>
    </w:p>
    <w:p w14:paraId="7C503362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6"/>
          <w:szCs w:val="8"/>
        </w:rPr>
      </w:pPr>
      <w:r w:rsidRPr="00997AC1">
        <w:rPr>
          <w:rFonts w:ascii="MyriadPro-Cond" w:hAnsi="MyriadPro-Cond" w:cs="MyriadPro-Cond"/>
          <w:color w:val="000000"/>
          <w:sz w:val="16"/>
          <w:szCs w:val="8"/>
        </w:rPr>
        <w:t>1. Lek działa do 8 godzin. CHPL DexaPico. PICO/063/05-2018</w:t>
      </w:r>
    </w:p>
    <w:p w14:paraId="7C503363" w14:textId="77777777" w:rsidR="00997AC1" w:rsidRDefault="00997AC1" w:rsidP="00997AC1">
      <w:pPr>
        <w:rPr>
          <w:sz w:val="36"/>
        </w:rPr>
      </w:pPr>
    </w:p>
    <w:p w14:paraId="7C503364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sz w:val="36"/>
        </w:rPr>
      </w:pPr>
      <w:r>
        <w:rPr>
          <w:rFonts w:ascii="MyriadPro-Regular" w:hAnsi="MyriadPro-Regular" w:cs="MyriadPro-Regular"/>
          <w:sz w:val="25"/>
          <w:szCs w:val="25"/>
        </w:rPr>
        <w:t>*Przed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997AC1" w:rsidRPr="009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Bold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23"/>
    <w:rsid w:val="00652266"/>
    <w:rsid w:val="00657E75"/>
    <w:rsid w:val="00997AC1"/>
    <w:rsid w:val="00AB7D23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3351"/>
  <w15:chartTrackingRefBased/>
  <w15:docId w15:val="{B995BCB2-5098-4F46-9A95-B8FAE3A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1D199-920E-4C7B-88F1-ED9594C1E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50CD1-47B6-4B4F-AE94-B3BBC232A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E4D59-48C3-4013-800E-35B015FEE14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Ciuchta Małgorzata</cp:lastModifiedBy>
  <cp:revision>2</cp:revision>
  <dcterms:created xsi:type="dcterms:W3CDTF">2019-05-24T11:14:00Z</dcterms:created>
  <dcterms:modified xsi:type="dcterms:W3CDTF">2019-05-24T11:14:00Z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