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2D0C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Geometric706BlkEU-Normal" w:hAnsi="Geometric706BlkEU-Normal" w:cs="Geometric706BlkEU-Normal"/>
          <w:color w:val="E60000"/>
          <w:szCs w:val="12"/>
        </w:rPr>
      </w:pPr>
      <w:bookmarkStart w:id="0" w:name="_GoBack"/>
      <w:bookmarkEnd w:id="0"/>
      <w:r w:rsidRPr="00D84ADA">
        <w:rPr>
          <w:rFonts w:ascii="Geometric706BlkEU-Normal" w:hAnsi="Geometric706BlkEU-Normal" w:cs="Geometric706BlkEU-Normal"/>
          <w:color w:val="E60000"/>
          <w:sz w:val="30"/>
          <w:szCs w:val="20"/>
        </w:rPr>
        <w:t>Flegamax</w:t>
      </w:r>
      <w:r w:rsidRPr="00D84ADA">
        <w:rPr>
          <w:rFonts w:ascii="Geometric706BlkEU-Normal" w:hAnsi="Geometric706BlkEU-Normal" w:cs="Geometric706BlkEU-Normal"/>
          <w:color w:val="E60000"/>
          <w:szCs w:val="12"/>
        </w:rPr>
        <w:t>® *</w:t>
      </w:r>
    </w:p>
    <w:p w14:paraId="751C2D0D" w14:textId="77777777" w:rsidR="00997AC1" w:rsidRPr="00D84ADA" w:rsidRDefault="00D84ADA" w:rsidP="00D84ADA">
      <w:pPr>
        <w:rPr>
          <w:rFonts w:ascii="Geometric706MdEU-Normal" w:hAnsi="Geometric706MdEU-Normal" w:cs="Geometric706MdEU-Normal"/>
          <w:color w:val="000000"/>
          <w:sz w:val="24"/>
          <w:szCs w:val="14"/>
        </w:rPr>
      </w:pPr>
      <w:r w:rsidRPr="00D84ADA">
        <w:rPr>
          <w:rFonts w:ascii="Geometric706MdEU-Normal" w:hAnsi="Geometric706MdEU-Normal" w:cs="Geometric706MdEU-Normal"/>
          <w:color w:val="000000"/>
          <w:sz w:val="24"/>
          <w:szCs w:val="14"/>
        </w:rPr>
        <w:t>Roztwór doustny 120 ml</w:t>
      </w:r>
    </w:p>
    <w:p w14:paraId="751C2D0E" w14:textId="77777777" w:rsidR="00D84ADA" w:rsidRPr="00D84ADA" w:rsidRDefault="00D84ADA" w:rsidP="00D84ADA">
      <w:pPr>
        <w:rPr>
          <w:rFonts w:ascii="Geometric706MdEU-Normal" w:hAnsi="Geometric706MdEU-Normal" w:cs="Geometric706MdEU-Normal"/>
          <w:color w:val="000000"/>
          <w:sz w:val="24"/>
          <w:szCs w:val="14"/>
        </w:rPr>
      </w:pPr>
    </w:p>
    <w:p w14:paraId="751C2D0F" w14:textId="77777777" w:rsidR="00D84ADA" w:rsidRDefault="00D84ADA" w:rsidP="00D84ADA">
      <w:pPr>
        <w:rPr>
          <w:rFonts w:ascii="Geometric706MdEU-Normal" w:hAnsi="Geometric706MdEU-Normal" w:cs="Geometric706MdEU-Normal"/>
          <w:color w:val="000000"/>
          <w:sz w:val="24"/>
          <w:szCs w:val="14"/>
        </w:rPr>
      </w:pPr>
      <w:r w:rsidRPr="00D84ADA">
        <w:rPr>
          <w:rFonts w:ascii="Geometric706MdEU-Normal" w:hAnsi="Geometric706MdEU-Normal" w:cs="Geometric706MdEU-Normal"/>
          <w:noProof/>
          <w:color w:val="000000"/>
          <w:sz w:val="24"/>
          <w:szCs w:val="14"/>
          <w:lang w:eastAsia="pl-PL"/>
        </w:rPr>
        <w:drawing>
          <wp:inline distT="0" distB="0" distL="0" distR="0" wp14:anchorId="751C2D20" wp14:editId="751C2D21">
            <wp:extent cx="2425065" cy="280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2D10" w14:textId="77777777" w:rsidR="00D84ADA" w:rsidRDefault="00D84ADA" w:rsidP="00D84ADA">
      <w:pPr>
        <w:rPr>
          <w:rFonts w:ascii="Geometric706MdEU-Normal" w:hAnsi="Geometric706MdEU-Normal" w:cs="Geometric706MdEU-Normal"/>
          <w:color w:val="000000"/>
          <w:sz w:val="24"/>
          <w:szCs w:val="14"/>
        </w:rPr>
      </w:pPr>
    </w:p>
    <w:p w14:paraId="751C2D11" w14:textId="77777777" w:rsidR="00D84ADA" w:rsidRPr="00D84ADA" w:rsidRDefault="00D84ADA" w:rsidP="00D84ADA">
      <w:pPr>
        <w:rPr>
          <w:rFonts w:ascii="Geometric706MdEU-Normal" w:hAnsi="Geometric706MdEU-Normal" w:cs="Geometric706MdEU-Normal"/>
          <w:color w:val="000000"/>
          <w:sz w:val="24"/>
          <w:szCs w:val="14"/>
        </w:rPr>
      </w:pPr>
    </w:p>
    <w:p w14:paraId="751C2D12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BoldCond" w:hAnsi="MyriadPro-BoldCond" w:cs="MyriadPro-BoldCond"/>
          <w:b/>
          <w:bCs/>
          <w:color w:val="E60000"/>
          <w:szCs w:val="12"/>
        </w:rPr>
        <w:t>Flegamax. Skład i postać</w:t>
      </w:r>
      <w:r w:rsidRPr="00D84ADA">
        <w:rPr>
          <w:rFonts w:ascii="MyriadPro-Cond" w:hAnsi="MyriadPro-Cond" w:cs="MyriadPro-Cond"/>
          <w:color w:val="000000"/>
          <w:szCs w:val="12"/>
        </w:rPr>
        <w:t>: Każdy ml roztworu doustnego zawiera 50 mg karbocysteiny.</w:t>
      </w:r>
    </w:p>
    <w:p w14:paraId="751C2D13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15 ml (1 miarka) roztworu doustnego zawiera 750 mg karbocysteiny. Substancje</w:t>
      </w:r>
    </w:p>
    <w:p w14:paraId="751C2D14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pomocnicze o znanym działaniu: czerwień koszenilowa (E 124), metylu parahydroksybenzoesan,</w:t>
      </w:r>
    </w:p>
    <w:p w14:paraId="751C2D15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 xml:space="preserve">sód. Roztwór doustny. Przezroczysty roztwór koloru czerwonego. </w:t>
      </w:r>
      <w:r w:rsidRPr="00D84ADA">
        <w:rPr>
          <w:rFonts w:ascii="MyriadPro-BoldCond" w:hAnsi="MyriadPro-BoldCond" w:cs="MyriadPro-BoldCond"/>
          <w:b/>
          <w:bCs/>
          <w:color w:val="E60000"/>
          <w:szCs w:val="12"/>
        </w:rPr>
        <w:t>Wskazania</w:t>
      </w:r>
      <w:r w:rsidRPr="00D84ADA">
        <w:rPr>
          <w:rFonts w:ascii="MyriadPro-Cond" w:hAnsi="MyriadPro-Cond" w:cs="MyriadPro-Cond"/>
          <w:color w:val="000000"/>
          <w:szCs w:val="12"/>
        </w:rPr>
        <w:t>:</w:t>
      </w:r>
    </w:p>
    <w:p w14:paraId="751C2D16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Objawowe leczenie chorób układu oddechowego przebiegających z nadmiernym</w:t>
      </w:r>
    </w:p>
    <w:p w14:paraId="751C2D17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 xml:space="preserve">wytwarzaniem gęstej i lepkiej wydzieliny. </w:t>
      </w:r>
      <w:r w:rsidRPr="00D84ADA">
        <w:rPr>
          <w:rFonts w:ascii="MyriadPro-BoldCond" w:hAnsi="MyriadPro-BoldCond" w:cs="MyriadPro-BoldCond"/>
          <w:b/>
          <w:bCs/>
          <w:color w:val="E60000"/>
          <w:szCs w:val="12"/>
        </w:rPr>
        <w:t>Przeciwwskazania</w:t>
      </w:r>
      <w:r w:rsidRPr="00D84ADA">
        <w:rPr>
          <w:rFonts w:ascii="MyriadPro-Cond" w:hAnsi="MyriadPro-Cond" w:cs="MyriadPro-Cond"/>
          <w:color w:val="000000"/>
          <w:szCs w:val="12"/>
        </w:rPr>
        <w:t>: Nadwrażliwość na</w:t>
      </w:r>
    </w:p>
    <w:p w14:paraId="751C2D18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substancję czynną lub na którąkolwiek substancję pomocniczą. Czynna choroba wrzodowa</w:t>
      </w:r>
    </w:p>
    <w:p w14:paraId="751C2D19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żołądka lub dwunastnicy. Stan astmatyczny. Nie stosować u dzieci w wieku poniżej</w:t>
      </w:r>
    </w:p>
    <w:p w14:paraId="751C2D1A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E6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 xml:space="preserve">6 lat. Podmiot odpowiedzialny: Medana Pharma S.A. </w:t>
      </w:r>
      <w:r w:rsidRPr="00D84ADA">
        <w:rPr>
          <w:rFonts w:ascii="MyriadPro-BoldCond" w:hAnsi="MyriadPro-BoldCond" w:cs="MyriadPro-BoldCond"/>
          <w:b/>
          <w:bCs/>
          <w:color w:val="E60000"/>
          <w:szCs w:val="12"/>
        </w:rPr>
        <w:t>Dodatkowych informacji o leku</w:t>
      </w:r>
    </w:p>
    <w:p w14:paraId="751C2D1B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BoldCond" w:hAnsi="MyriadPro-BoldCond" w:cs="MyriadPro-BoldCond"/>
          <w:b/>
          <w:bCs/>
          <w:color w:val="E60000"/>
          <w:szCs w:val="12"/>
        </w:rPr>
        <w:t>udziela</w:t>
      </w:r>
      <w:r w:rsidRPr="00D84ADA">
        <w:rPr>
          <w:rFonts w:ascii="MyriadPro-Cond" w:hAnsi="MyriadPro-Cond" w:cs="MyriadPro-Cond"/>
          <w:color w:val="000000"/>
          <w:szCs w:val="12"/>
        </w:rPr>
        <w:t>: Polpharma Biuro Handlowe Sp. z o.o., ul. Bobrowiecka 6, 00-728 Warszawa,</w:t>
      </w:r>
    </w:p>
    <w:p w14:paraId="751C2D1C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Cs w:val="12"/>
        </w:rPr>
      </w:pPr>
      <w:r w:rsidRPr="00D84ADA">
        <w:rPr>
          <w:rFonts w:ascii="MyriadPro-Cond" w:hAnsi="MyriadPro-Cond" w:cs="MyriadPro-Cond"/>
          <w:color w:val="000000"/>
          <w:szCs w:val="12"/>
        </w:rPr>
        <w:t>tel.: +48 22 364 61 00; faks: +48 22 364 61 02, www.polpharma.pl. ChPL: 2017.12.11.</w:t>
      </w:r>
    </w:p>
    <w:p w14:paraId="751C2D1D" w14:textId="77777777" w:rsidR="00D84ADA" w:rsidRPr="00D84ADA" w:rsidRDefault="00D84ADA" w:rsidP="00D84ADA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8"/>
        </w:rPr>
      </w:pPr>
      <w:r w:rsidRPr="00D84ADA">
        <w:rPr>
          <w:rFonts w:ascii="MyriadPro-Cond" w:hAnsi="MyriadPro-Cond" w:cs="MyriadPro-Cond"/>
          <w:color w:val="000000"/>
          <w:sz w:val="18"/>
          <w:szCs w:val="8"/>
        </w:rPr>
        <w:t>FLE/065/05-2018</w:t>
      </w:r>
    </w:p>
    <w:p w14:paraId="751C2D1E" w14:textId="77777777" w:rsidR="00D84ADA" w:rsidRDefault="00D84ADA" w:rsidP="00D84ADA">
      <w:pPr>
        <w:rPr>
          <w:sz w:val="36"/>
        </w:rPr>
      </w:pPr>
    </w:p>
    <w:p w14:paraId="751C2D1F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sz w:val="36"/>
        </w:rPr>
      </w:pPr>
      <w:r>
        <w:rPr>
          <w:rFonts w:ascii="MyriadPro-Regular" w:hAnsi="MyriadPro-Regular" w:cs="MyriadPro-Regular"/>
          <w:sz w:val="25"/>
          <w:szCs w:val="25"/>
        </w:rPr>
        <w:t>*Przed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997AC1" w:rsidRPr="009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metric706Blk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etric706Md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3"/>
    <w:rsid w:val="005E09ED"/>
    <w:rsid w:val="00657E75"/>
    <w:rsid w:val="00997AC1"/>
    <w:rsid w:val="00AB7D23"/>
    <w:rsid w:val="00D84ADA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D0C"/>
  <w15:chartTrackingRefBased/>
  <w15:docId w15:val="{B995BCB2-5098-4F46-9A95-B8FAE3A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A38D4-4954-42F4-914D-D3945877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EF731-6D94-497E-9964-55580DB46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FE085-CDC5-4FE6-91E0-937FFBB2171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Ciuchta Małgorzata</cp:lastModifiedBy>
  <cp:revision>2</cp:revision>
  <dcterms:created xsi:type="dcterms:W3CDTF">2019-05-24T13:22:00Z</dcterms:created>
  <dcterms:modified xsi:type="dcterms:W3CDTF">2019-05-24T13:22:00Z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