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5219" w14:textId="77777777" w:rsidR="00E96B3E" w:rsidRPr="0055778F" w:rsidRDefault="009B4B2C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55778F">
        <w:rPr>
          <w:rFonts w:asciiTheme="minorHAnsi" w:hAnsiTheme="minorHAnsi" w:cs="Arial"/>
          <w:b/>
          <w:sz w:val="20"/>
          <w:szCs w:val="20"/>
        </w:rPr>
        <w:t>Dedykowany dzieciom na gorączkę, ból i stan zapalny.</w:t>
      </w:r>
    </w:p>
    <w:p w14:paraId="656A4BFE" w14:textId="77777777" w:rsidR="00504B8A" w:rsidRPr="0055778F" w:rsidRDefault="00504B8A">
      <w:pPr>
        <w:rPr>
          <w:rFonts w:asciiTheme="minorHAnsi" w:hAnsiTheme="minorHAnsi" w:cs="Arial"/>
          <w:b/>
          <w:sz w:val="20"/>
          <w:szCs w:val="20"/>
        </w:rPr>
      </w:pPr>
    </w:p>
    <w:p w14:paraId="39F230FB" w14:textId="77777777" w:rsidR="00E26620" w:rsidRPr="0055778F" w:rsidRDefault="005F4EFC">
      <w:pPr>
        <w:rPr>
          <w:rFonts w:asciiTheme="minorHAnsi" w:hAnsiTheme="minorHAnsi" w:cs="Arial"/>
          <w:b/>
          <w:sz w:val="20"/>
          <w:szCs w:val="20"/>
        </w:rPr>
      </w:pPr>
      <w:r w:rsidRPr="0055778F">
        <w:rPr>
          <w:rFonts w:asciiTheme="minorHAnsi" w:hAnsiTheme="minorHAnsi" w:cs="Arial"/>
          <w:b/>
          <w:sz w:val="20"/>
          <w:szCs w:val="20"/>
        </w:rPr>
        <w:t>Ibufen Junior</w:t>
      </w:r>
    </w:p>
    <w:p w14:paraId="1B4DE1A1" w14:textId="77777777" w:rsidR="00E96B3E" w:rsidRPr="0055778F" w:rsidRDefault="00E96B3E">
      <w:pPr>
        <w:rPr>
          <w:rFonts w:asciiTheme="minorHAnsi" w:hAnsiTheme="minorHAnsi" w:cs="Arial"/>
          <w:sz w:val="20"/>
          <w:szCs w:val="20"/>
        </w:rPr>
      </w:pPr>
    </w:p>
    <w:p w14:paraId="15D5AC2A" w14:textId="77777777" w:rsidR="00504B8A" w:rsidRPr="0055778F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55778F">
        <w:rPr>
          <w:rFonts w:asciiTheme="minorHAnsi" w:hAnsiTheme="minorHAnsi" w:cs="Arial"/>
          <w:bCs/>
          <w:sz w:val="20"/>
          <w:szCs w:val="20"/>
        </w:rPr>
        <w:t>Zwalcza gorączkę i ból, działa przeciwzapalnie</w:t>
      </w:r>
    </w:p>
    <w:p w14:paraId="413A9675" w14:textId="77777777" w:rsidR="003C3DAA" w:rsidRPr="0055778F" w:rsidRDefault="00CB27A1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5778F">
        <w:rPr>
          <w:rFonts w:asciiTheme="minorHAnsi" w:hAnsiTheme="minorHAnsi" w:cs="Arial"/>
          <w:bCs/>
          <w:sz w:val="20"/>
          <w:szCs w:val="20"/>
        </w:rPr>
        <w:t>Miękka, żelatynowa</w:t>
      </w:r>
      <w:r w:rsidR="005F4EFC" w:rsidRPr="0055778F">
        <w:rPr>
          <w:rFonts w:asciiTheme="minorHAnsi" w:hAnsiTheme="minorHAnsi" w:cs="Arial"/>
          <w:bCs/>
          <w:sz w:val="20"/>
          <w:szCs w:val="20"/>
        </w:rPr>
        <w:t xml:space="preserve"> kapsułka łatwa do połknięcia</w:t>
      </w:r>
    </w:p>
    <w:p w14:paraId="7FAAE01D" w14:textId="77777777" w:rsidR="00505844" w:rsidRPr="0055778F" w:rsidRDefault="00505844" w:rsidP="0050584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5778F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E622A88" wp14:editId="57066724">
            <wp:extent cx="3108960" cy="3095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ufenJUNIOR_10kaps_PST_150309_lewa-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93"/>
                    <a:stretch/>
                  </pic:blipFill>
                  <pic:spPr bwMode="auto">
                    <a:xfrm>
                      <a:off x="0" y="0"/>
                      <a:ext cx="3121527" cy="310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8B597" w14:textId="77777777" w:rsidR="00616A1D" w:rsidRDefault="00616A1D" w:rsidP="00FD2D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E507BF" w14:textId="58C4A848" w:rsidR="00FD2D40" w:rsidRPr="00492740" w:rsidRDefault="00616A1D" w:rsidP="00FD2D40">
      <w:pPr>
        <w:autoSpaceDE w:val="0"/>
        <w:autoSpaceDN w:val="0"/>
        <w:adjustRightInd w:val="0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Ibufen Junior.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Każda kapsułka zawiera 200 mg ibuprofenu. Substancje pomocnicze o znanym działaniu: sorbitol ciekły niekrystalizujący (E420), maltitol ciekły (E965), potas. Kapsułki, miękkie. Jasnożółte kapsułki żelatynowe wypełnione lepkim płynem.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Bóle różnego pochodzenia o nasileniu słabym do umiarkowanego: bóle głowy (również migrenowe), bóle zębów, bóle mięśniowe, stawowe i kostne, bóle po urazach, nerwobóle, bóle towarzyszące przeziębieniu i grypie, bolesne miesiączkowanie, bóle uszu występujące w stanach zapalnych ucha środkowego. Stany gorączkowe różnego pochodzenia (między innymi w przebiegu grypy, przeziębienia lub innych chorób zakaźnych.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Nadwrażliwość na substancję czynną, inne niesteroidowe leki przeciwzapalne lub na którąkolwiek substancję pomocniczą. Produkt jest przeciwskazany u pacjentów, u których po przyjęciu kwasu acetylosalicylowego lub innych niesteroidowych leków przeciwzapalnych (NLPZ) występowały kiedykolwiek w przeszłości reakcje nadwrażliwości w postaci skurczu oskrzeli, astmy oskrzelowej, nieżytu nosa, obrzęku naczynioruchowego lub pokrzywki. Czynna choroba wrzodowa żołądka i (lub) dwunastnicy, lub nawracające owrzodzenie lub krwawienie z przewodu pokarmowego w wywiadzie (dwa lub więcej niezależne epizody potwierdzonego owrzodzenia lub krwawienia). Krwawienie z górnego odcinka przewodu pokarmowego lub perforacja w wywiadzie, występujące po zastosowaniu NLPZ.Ciężka niewydolność wątroby, ciężka niewydolność nerek. Ciężka niewydolność serca (klasa IV wg NYHA). Stosowanie u dzieci o masie ciała poniżej 20 kg. Krwawienie z naczyń mózgowych lub inne czynne krwawienie. Stosowanie u pacjentów ze skazą krwotoczną. Niewyjaśnione zaburzenia układu krwiotwórczego, takie jak trombocytopenia. Ostatni trymestr ciąży.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Medana Pharma S.A. Dodatkowych informacji o leku udziela: Polpharma Biuro Handlowe Sp. z o.o., ul. Bobrowiecka 6, 00-728 Warszawa; tel.: +48 22 364 61 00; faks: +48 22 364 61 02; www.polpharma.pl. ChPL: 2018.08.29.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hAnsi="Arial" w:cs="Arial"/>
          <w:sz w:val="20"/>
          <w:szCs w:val="20"/>
        </w:rPr>
        <w:br/>
      </w:r>
    </w:p>
    <w:p w14:paraId="3966F8C3" w14:textId="77777777" w:rsidR="00E96B3E" w:rsidRPr="0055778F" w:rsidRDefault="00E96B3E" w:rsidP="00D0760A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sectPr w:rsidR="00E96B3E" w:rsidRPr="0055778F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20D1"/>
    <w:rsid w:val="001569D1"/>
    <w:rsid w:val="00157AD2"/>
    <w:rsid w:val="00162521"/>
    <w:rsid w:val="00165753"/>
    <w:rsid w:val="001721D3"/>
    <w:rsid w:val="00172721"/>
    <w:rsid w:val="00176E67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57C68"/>
    <w:rsid w:val="00260DEE"/>
    <w:rsid w:val="0026150C"/>
    <w:rsid w:val="0026195C"/>
    <w:rsid w:val="00262A57"/>
    <w:rsid w:val="002724F7"/>
    <w:rsid w:val="00275E61"/>
    <w:rsid w:val="002763BA"/>
    <w:rsid w:val="002803BF"/>
    <w:rsid w:val="00280CA9"/>
    <w:rsid w:val="002848AC"/>
    <w:rsid w:val="002857ED"/>
    <w:rsid w:val="002911F6"/>
    <w:rsid w:val="002974ED"/>
    <w:rsid w:val="002A2142"/>
    <w:rsid w:val="002A260A"/>
    <w:rsid w:val="002B0CB1"/>
    <w:rsid w:val="002B3C7C"/>
    <w:rsid w:val="002B404E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4015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2740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05844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5778F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C1B1F"/>
    <w:rsid w:val="005C4997"/>
    <w:rsid w:val="005E47FB"/>
    <w:rsid w:val="005E52B4"/>
    <w:rsid w:val="005F4EFC"/>
    <w:rsid w:val="005F5699"/>
    <w:rsid w:val="00600F75"/>
    <w:rsid w:val="00602637"/>
    <w:rsid w:val="0060468C"/>
    <w:rsid w:val="00613673"/>
    <w:rsid w:val="00613BCD"/>
    <w:rsid w:val="00616A1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14B4"/>
    <w:rsid w:val="009023CD"/>
    <w:rsid w:val="00903190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35C"/>
    <w:rsid w:val="009B4B2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5715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27A1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60A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6620"/>
    <w:rsid w:val="00E27380"/>
    <w:rsid w:val="00E279CC"/>
    <w:rsid w:val="00E27F8A"/>
    <w:rsid w:val="00E30819"/>
    <w:rsid w:val="00E3094F"/>
    <w:rsid w:val="00E31CAF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24E7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2D84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2D40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16099"/>
  <w15:docId w15:val="{74BE6DD6-C427-40C6-9EF0-49A028A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8AC"/>
    <w:rPr>
      <w:b/>
      <w:bCs/>
    </w:rPr>
  </w:style>
  <w:style w:type="paragraph" w:styleId="Tekstpodstawowy">
    <w:name w:val="Body Text"/>
    <w:basedOn w:val="Normalny"/>
    <w:link w:val="TekstpodstawowyZnak"/>
    <w:rsid w:val="00D0760A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60A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B2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5F1BC-61D6-4DB8-8FD5-783C5C608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CDA83-D50A-4300-AD40-655AF9C4D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EA84-8EA3-44DC-9A40-4E20FEE85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2019-07-05T13:07:00Z</dcterms:created>
  <dcterms:modified xsi:type="dcterms:W3CDTF">2019-07-05T13:07:00Z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