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8B1CD" w14:textId="77777777" w:rsidR="00537B40" w:rsidRPr="00F335DD" w:rsidRDefault="00537B40" w:rsidP="00537B40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F335DD">
        <w:rPr>
          <w:rFonts w:asciiTheme="minorHAnsi" w:hAnsiTheme="minorHAnsi" w:cs="Arial"/>
          <w:b/>
          <w:sz w:val="20"/>
          <w:szCs w:val="20"/>
        </w:rPr>
        <w:t>Dedykowany dzieciom na gorączkę, ból i stan zapalny.</w:t>
      </w:r>
    </w:p>
    <w:p w14:paraId="2FB9E65B" w14:textId="77777777" w:rsidR="00504B8A" w:rsidRPr="00F335DD" w:rsidRDefault="00504B8A">
      <w:pPr>
        <w:rPr>
          <w:rFonts w:asciiTheme="minorHAnsi" w:hAnsiTheme="minorHAnsi" w:cs="Arial"/>
          <w:b/>
          <w:sz w:val="20"/>
          <w:szCs w:val="20"/>
        </w:rPr>
      </w:pPr>
    </w:p>
    <w:p w14:paraId="09C70595" w14:textId="6D1520B5" w:rsidR="00504B8A" w:rsidRPr="00F335DD" w:rsidRDefault="00504B8A" w:rsidP="00504B8A">
      <w:pPr>
        <w:rPr>
          <w:rFonts w:asciiTheme="minorHAnsi" w:hAnsiTheme="minorHAnsi" w:cs="Arial"/>
          <w:b/>
          <w:sz w:val="20"/>
          <w:szCs w:val="20"/>
        </w:rPr>
      </w:pPr>
      <w:r w:rsidRPr="00F335DD">
        <w:rPr>
          <w:rFonts w:asciiTheme="minorHAnsi" w:hAnsiTheme="minorHAnsi" w:cs="Arial"/>
          <w:b/>
          <w:sz w:val="20"/>
          <w:szCs w:val="20"/>
        </w:rPr>
        <w:t>Ibufen® dla dzieci o smaku truskawkowym</w:t>
      </w:r>
    </w:p>
    <w:p w14:paraId="332DD469" w14:textId="77777777" w:rsidR="00E96B3E" w:rsidRPr="00F335DD" w:rsidRDefault="00E96B3E">
      <w:pPr>
        <w:rPr>
          <w:rFonts w:asciiTheme="minorHAnsi" w:hAnsiTheme="minorHAnsi" w:cs="Arial"/>
          <w:sz w:val="20"/>
          <w:szCs w:val="20"/>
        </w:rPr>
      </w:pPr>
    </w:p>
    <w:p w14:paraId="003A8B3A" w14:textId="77777777" w:rsidR="00504B8A" w:rsidRPr="00D27CE2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27CE2">
        <w:rPr>
          <w:rFonts w:asciiTheme="minorHAnsi" w:hAnsiTheme="minorHAnsi" w:cstheme="minorHAnsi"/>
          <w:bCs/>
          <w:sz w:val="20"/>
          <w:szCs w:val="20"/>
        </w:rPr>
        <w:t>Zwalcza gorączkę i ból, działa przeciwzapalnie</w:t>
      </w:r>
    </w:p>
    <w:p w14:paraId="60FBE3B2" w14:textId="5E94AF19" w:rsidR="003C3DAA" w:rsidRPr="00D27CE2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27CE2">
        <w:rPr>
          <w:rFonts w:asciiTheme="minorHAnsi" w:hAnsiTheme="minorHAnsi" w:cstheme="minorHAnsi"/>
          <w:bCs/>
          <w:sz w:val="20"/>
          <w:szCs w:val="20"/>
        </w:rPr>
        <w:t>Ma słodki truskawkowy smak</w:t>
      </w:r>
    </w:p>
    <w:p w14:paraId="3A5B0346" w14:textId="77777777" w:rsidR="00537B40" w:rsidRPr="00D27CE2" w:rsidRDefault="00537B40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27CE2">
        <w:rPr>
          <w:rFonts w:asciiTheme="minorHAnsi" w:hAnsiTheme="minorHAnsi" w:cstheme="minorHAnsi"/>
          <w:bCs/>
          <w:sz w:val="20"/>
          <w:szCs w:val="20"/>
        </w:rPr>
        <w:t>Dostępny w opakowaniach 100ml</w:t>
      </w:r>
    </w:p>
    <w:p w14:paraId="509973F6" w14:textId="77777777" w:rsidR="00C37A7D" w:rsidRPr="00F335DD" w:rsidRDefault="00C37A7D" w:rsidP="003C3DAA">
      <w:pPr>
        <w:rPr>
          <w:rFonts w:asciiTheme="minorHAnsi" w:hAnsiTheme="minorHAnsi" w:cs="Arial"/>
          <w:noProof/>
          <w:sz w:val="16"/>
          <w:szCs w:val="16"/>
        </w:rPr>
      </w:pPr>
    </w:p>
    <w:p w14:paraId="2A0294E9" w14:textId="09E17C75" w:rsidR="003C3DAA" w:rsidRPr="00F335DD" w:rsidRDefault="00C37A7D" w:rsidP="003C3DAA">
      <w:pPr>
        <w:rPr>
          <w:rFonts w:asciiTheme="minorHAnsi" w:hAnsiTheme="minorHAnsi" w:cs="Arial"/>
          <w:sz w:val="16"/>
          <w:szCs w:val="16"/>
        </w:rPr>
      </w:pPr>
      <w:r w:rsidRPr="00F335DD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47B4DA39" wp14:editId="00248E75">
            <wp:extent cx="2716181" cy="2568575"/>
            <wp:effectExtent l="0" t="0" r="825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 IbufenTruskawka_130528_H15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18" cy="25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81BE" w14:textId="77777777" w:rsidR="0005344B" w:rsidRPr="00F335DD" w:rsidRDefault="0005344B" w:rsidP="0005344B">
      <w:pPr>
        <w:jc w:val="both"/>
        <w:rPr>
          <w:rFonts w:asciiTheme="minorHAnsi" w:hAnsiTheme="minorHAnsi"/>
          <w:sz w:val="16"/>
          <w:szCs w:val="16"/>
        </w:rPr>
      </w:pPr>
    </w:p>
    <w:p w14:paraId="0468E8BA" w14:textId="5A77044D" w:rsidR="00E96B3E" w:rsidRPr="00F335DD" w:rsidRDefault="00D27CE2" w:rsidP="005019C9">
      <w:pPr>
        <w:pStyle w:val="NormalnyWeb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Ibufen dla dzieci o smaku truskawkowym.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5 ml zawiesiny doustnej zawiera 100 mg ibuprofenu. Substancja pomocnicza o znanym działaniu: maltitol ciekły, (E965), sód. Zawiesina doustna. Zawiesina koloru białego lub prawie białego, o zapachu truskawkowym.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wirusowych, w przebiegu odczynu poszczepiennego). Bóle różnego pochodzenia o nasileniu słabym do umiarkowanego: bóle głowy, gardła i mięśni np. w przebiegu zakażeń wirusowych, bóle mięśni, stawów i kości, na skutek urazów narządu ruchu (nadwerężenia, skręcenia), bóle na skutek urazów tkanek miękkich, bóle pooperacyjne, bóle zębów, bóle po ekstrakcji zębów, bóle na skutek ząbkowania, bóle głowy, bóle uszu występujące w stanach zapalnych ucha środkowego. Produkt nie zawiera cukru, może być stosowany przez diabetyków.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substancję czynną, inne niesteroidowe leki przeciwzapalne (NLPZ) lub na którąkolwiek substancję pomocniczą. Produkt jest przeciwwskazany u pacjentów, u których po przyjęciu kwasu acetylosalicylowego lub innych niesteroidowych leków przeciwzapalnych (NLPZ) występowały kiedykolwiek w przeszłości reakcje nadwrażliwości w postaci skurczu oskrzeli, astmy oskrzelowej, nieżytu nosa, obrzęku naczynioruchowego lub pokrzywki. Czynna choroba wrzodowa żołądka i (lub) dwunastnicy, lub nawracające owrzodzenie lub krwawienie z przewodu pokarmowego w wywiadzie (dwa lub więcej odrębne epizody potwierdzonego owrzodzenia lub krwawienia). Krwawienie z górnego odcinka przewodu pokarmowego lub perforacja w wywiadzie występujące po zastosowaniu NLPZ. Ciężka niewydolność wątroby, ciężka niewydolność nerek. Ciężka niewydolność serca (klasa IV wg NYHA). Ostatni trymestr ciąży. Skaza krwotoczna.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Medana Pharma S.A. Dodatkowych informacji o leku udziela: Polpharma Biuro Handlowe Sp. z o.o., ul. Bobrowiecka 6, 00-728 Warszawa; tel.: +48 22 364 61 00; faks: +48 22 364 61 02; www.polpharma.pl. ChPL: 2018.03.29.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96B3E" w:rsidRPr="00F335DD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44B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20D1"/>
    <w:rsid w:val="001569D1"/>
    <w:rsid w:val="00157AD2"/>
    <w:rsid w:val="00162521"/>
    <w:rsid w:val="00165753"/>
    <w:rsid w:val="001721D3"/>
    <w:rsid w:val="00172721"/>
    <w:rsid w:val="00176E67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06828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48AC"/>
    <w:rsid w:val="002857ED"/>
    <w:rsid w:val="002911F6"/>
    <w:rsid w:val="002974ED"/>
    <w:rsid w:val="002A2142"/>
    <w:rsid w:val="002A260A"/>
    <w:rsid w:val="002B0CB1"/>
    <w:rsid w:val="002B3C7C"/>
    <w:rsid w:val="002B404E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4C24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19C9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37B40"/>
    <w:rsid w:val="00541255"/>
    <w:rsid w:val="005413F2"/>
    <w:rsid w:val="00550464"/>
    <w:rsid w:val="005540CC"/>
    <w:rsid w:val="00554218"/>
    <w:rsid w:val="0055465F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1ECA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36BC5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1FC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2B3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37A7D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27CE2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35D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DE70"/>
  <w15:docId w15:val="{28F553F6-315E-4F18-A038-7D41ABB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8A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36BC5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BC5"/>
    <w:rPr>
      <w:sz w:val="24"/>
    </w:rPr>
  </w:style>
  <w:style w:type="paragraph" w:styleId="NormalnyWeb">
    <w:name w:val="Normal (Web)"/>
    <w:basedOn w:val="Normalny"/>
    <w:uiPriority w:val="99"/>
    <w:unhideWhenUsed/>
    <w:rsid w:val="00464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F593E-CC0A-4ED4-AA04-1C849A90D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732C-DFB3-46FA-BDB6-67A5F760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EA129-589A-46C1-B9B5-FDB514B13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2019-07-05T13:09:00Z</dcterms:created>
  <dcterms:modified xsi:type="dcterms:W3CDTF">2019-07-05T13:09:00Z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