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D568E" w14:textId="77777777" w:rsidR="00167B6F" w:rsidRDefault="00167B6F" w:rsidP="008E7FF7">
      <w:pPr>
        <w:jc w:val="center"/>
        <w:rPr>
          <w:sz w:val="36"/>
        </w:rPr>
      </w:pPr>
      <w:bookmarkStart w:id="0" w:name="_GoBack"/>
      <w:bookmarkEnd w:id="0"/>
      <w:r>
        <w:rPr>
          <w:sz w:val="36"/>
        </w:rPr>
        <w:t xml:space="preserve">ETOPIRYNA EXTRA </w:t>
      </w:r>
    </w:p>
    <w:p w14:paraId="3D6E50AA" w14:textId="1C98328A" w:rsidR="003F0905" w:rsidRDefault="000A15BD" w:rsidP="003F0905">
      <w:pPr>
        <w:spacing w:after="0" w:line="240" w:lineRule="auto"/>
        <w:jc w:val="center"/>
        <w:rPr>
          <w:sz w:val="36"/>
        </w:rPr>
      </w:pPr>
      <w:r>
        <w:rPr>
          <w:sz w:val="36"/>
        </w:rPr>
        <w:t xml:space="preserve">LEK NA </w:t>
      </w:r>
      <w:r w:rsidR="003F0905">
        <w:rPr>
          <w:sz w:val="36"/>
        </w:rPr>
        <w:t>BÓL RÓŻNEGO POCHODZENIA,</w:t>
      </w:r>
    </w:p>
    <w:p w14:paraId="4C1963BF" w14:textId="77777777" w:rsidR="003F0905" w:rsidRDefault="003F0905" w:rsidP="003F0905">
      <w:pPr>
        <w:spacing w:after="0" w:line="240" w:lineRule="auto"/>
        <w:jc w:val="center"/>
        <w:rPr>
          <w:sz w:val="36"/>
        </w:rPr>
      </w:pPr>
      <w:r>
        <w:rPr>
          <w:sz w:val="36"/>
        </w:rPr>
        <w:t xml:space="preserve"> A NAWET BÓL MIGRENOWY </w:t>
      </w:r>
    </w:p>
    <w:p w14:paraId="05147600" w14:textId="77777777" w:rsidR="00814BE9" w:rsidRDefault="003F0905" w:rsidP="003F0905">
      <w:pPr>
        <w:spacing w:after="0" w:line="240" w:lineRule="auto"/>
        <w:jc w:val="center"/>
        <w:rPr>
          <w:sz w:val="36"/>
        </w:rPr>
      </w:pPr>
      <w:r>
        <w:rPr>
          <w:sz w:val="36"/>
        </w:rPr>
        <w:t xml:space="preserve"> </w:t>
      </w:r>
    </w:p>
    <w:p w14:paraId="7CFF88C8" w14:textId="77777777" w:rsidR="003F0905" w:rsidRDefault="003F0905" w:rsidP="003F0905">
      <w:pPr>
        <w:spacing w:after="0" w:line="240" w:lineRule="auto"/>
        <w:jc w:val="center"/>
        <w:rPr>
          <w:sz w:val="36"/>
        </w:rPr>
      </w:pPr>
      <w:r>
        <w:rPr>
          <w:rFonts w:ascii="Lato" w:hAnsi="Lato" w:cs="Helvetica"/>
          <w:noProof/>
          <w:color w:val="0A0A0A"/>
          <w:sz w:val="15"/>
          <w:szCs w:val="15"/>
          <w:lang w:eastAsia="pl-PL"/>
        </w:rPr>
        <w:drawing>
          <wp:inline distT="0" distB="0" distL="0" distR="0" wp14:anchorId="463FF419" wp14:editId="1E844A30">
            <wp:extent cx="2457450" cy="1855773"/>
            <wp:effectExtent l="0" t="0" r="0" b="0"/>
            <wp:docPr id="2" name="Obraz 2" descr="https://eureka.polpharma.net/services/index.php?start=FileView&amp;mode=prd_file&amp;pfid=23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reka.polpharma.net/services/index.php?start=FileView&amp;mode=prd_file&amp;pfid=234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9501" cy="1872425"/>
                    </a:xfrm>
                    <a:prstGeom prst="rect">
                      <a:avLst/>
                    </a:prstGeom>
                    <a:noFill/>
                    <a:ln>
                      <a:noFill/>
                    </a:ln>
                  </pic:spPr>
                </pic:pic>
              </a:graphicData>
            </a:graphic>
          </wp:inline>
        </w:drawing>
      </w:r>
    </w:p>
    <w:p w14:paraId="722F55FE" w14:textId="77777777" w:rsidR="008E7FF7" w:rsidRDefault="008E7FF7" w:rsidP="008E7FF7">
      <w:pPr>
        <w:jc w:val="both"/>
        <w:rPr>
          <w:rFonts w:ascii="Arial" w:eastAsia="Times New Roman" w:hAnsi="Arial" w:cs="Arial"/>
          <w:b/>
          <w:bCs/>
          <w:sz w:val="20"/>
          <w:szCs w:val="20"/>
        </w:rPr>
      </w:pPr>
    </w:p>
    <w:p w14:paraId="1D02DC80" w14:textId="77777777" w:rsidR="008E7FF7" w:rsidRDefault="008E7FF7" w:rsidP="008E7FF7">
      <w:pPr>
        <w:jc w:val="both"/>
        <w:rPr>
          <w:rFonts w:ascii="Arial" w:eastAsia="Times New Roman" w:hAnsi="Arial" w:cs="Arial"/>
          <w:b/>
          <w:bCs/>
          <w:sz w:val="20"/>
          <w:szCs w:val="20"/>
        </w:rPr>
      </w:pPr>
    </w:p>
    <w:p w14:paraId="11D1CB48" w14:textId="77777777" w:rsidR="008E7FF7" w:rsidRPr="008E7FF7" w:rsidRDefault="003F0905" w:rsidP="003F0905">
      <w:pPr>
        <w:rPr>
          <w:rFonts w:ascii="Arial" w:eastAsia="Times New Roman" w:hAnsi="Arial" w:cs="Arial"/>
          <w:sz w:val="28"/>
          <w:szCs w:val="20"/>
        </w:rPr>
      </w:pPr>
      <w:r>
        <w:rPr>
          <w:rFonts w:ascii="Arial" w:eastAsia="Times New Roman" w:hAnsi="Arial" w:cs="Arial"/>
          <w:b/>
          <w:bCs/>
          <w:sz w:val="20"/>
          <w:szCs w:val="20"/>
        </w:rPr>
        <w:t>Etopiryna Extra. Skład i postać:</w:t>
      </w:r>
      <w:r>
        <w:rPr>
          <w:rFonts w:ascii="Arial" w:eastAsia="Times New Roman" w:hAnsi="Arial" w:cs="Arial"/>
          <w:sz w:val="20"/>
          <w:szCs w:val="20"/>
        </w:rPr>
        <w:t xml:space="preserve"> 1 tabletka zawiera 250 mg kwasu acetylosalicylowego, 200 mg paracetamolu, 50 mg kofeiny. </w:t>
      </w:r>
      <w:r>
        <w:rPr>
          <w:rFonts w:ascii="Arial" w:eastAsia="Times New Roman" w:hAnsi="Arial" w:cs="Arial"/>
          <w:b/>
          <w:bCs/>
          <w:sz w:val="20"/>
          <w:szCs w:val="20"/>
        </w:rPr>
        <w:t>Wskazania:</w:t>
      </w:r>
      <w:r>
        <w:rPr>
          <w:rFonts w:ascii="Arial" w:eastAsia="Times New Roman" w:hAnsi="Arial" w:cs="Arial"/>
          <w:sz w:val="20"/>
          <w:szCs w:val="20"/>
        </w:rPr>
        <w:t xml:space="preserve"> Bóle głowy, w szczególności bóle migrenowe, oraz inne bóle o umiarkowanym nasileniu, zwłaszcza pochodzenia zapalnego.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substancje czynne lub na którąkolwiek substancję pomocniczą leku. Nadwrażliwość na kwas acetylosalicylowy występuje u 0,3% populacji, w tym do 20% u chorych na astmę oskrzelową lub przewlekłą pokrzywkę. Objawy nadwrażliwości: pokrzywka, a nawet wstrząs, mogą wystąpić w ciągu 3 godzin od przyjęcia kwasu acetylosalicylowego. Nadwrażliwość na inne niesteroidowe leki przeciwzapalne, przebiegająca z objawami takimi jak: skurcz oskrzeli, nieżyt nosa, pokrzywka, wstrząs. Astma oskrzelowa, przewlekłe schorzenia układu oddechowego, gorączka sienna lub obrzęk błony śluzowej nosa, gdyż pacjenci z tymi schorzeniami mogą reagować na niesteroidowe leki przeciwzapalne napadami astmy, ograniczonym obrzękiem skóry i błony śluzowej (obrzęk naczynioruchowy) lub pokrzywką częściej niż inni pacjenci. Czynna choroba wrzodowa żołądka i (lub) dwunastnicy oraz stany zapalne lub krwawienia z przewodu pokarmowego (może dojść do wystąpienia krwawienia z przewodu pokarmowego lub uczynnienia choroby wrzodowej). Ciężka niewydolność wątroby lub nerek. Choroba alkoholowa. Ciężka niewydolność serca, zaburzenia rytmu serca. Bezsenność. Zaburzenia krzepnięcia krwi (np. hemofilia, małopłytkowość) oraz jednoczesne leczenie środkami przeciwzakrzepowymi (np. pochodne kumaryny, heparyna). Niedobór dehydrogenazy glukozo-6-fosforanowej. Jednoczesne stosowanie z metotreksatem w dawkach 15 mg tygodniowo lub większych, ze względu na mielotoksyczność. U dzieci i młodzieży w wieku poniżej 16 lat, zwłaszcza w przebiegu infekcji wirusowych, ze względu na ryzyko wystąpienia zespołu Reye’a. W okresie ciąży i karmienia piersią. </w:t>
      </w:r>
      <w:r>
        <w:rPr>
          <w:rFonts w:ascii="Arial" w:eastAsia="Times New Roman" w:hAnsi="Arial" w:cs="Arial"/>
          <w:b/>
          <w:bCs/>
          <w:sz w:val="20"/>
          <w:szCs w:val="20"/>
        </w:rPr>
        <w:t>Podmiot odpowiedzialny:</w:t>
      </w:r>
      <w:r>
        <w:rPr>
          <w:rFonts w:ascii="Arial" w:eastAsia="Times New Roman" w:hAnsi="Arial" w:cs="Arial"/>
          <w:sz w:val="20"/>
          <w:szCs w:val="20"/>
        </w:rPr>
        <w:t xml:space="preserve"> Zakłady Farmaceutyczne Polpharma S.A. Dodatkowych informacji o leku udziela: Polpharma Biuro Handlowe Sp. z o.o., ul. Bobrowiecka 6, 00-728 Warszawa; tel.: +48 22 364 61 00; faks: +48 22 364 61 02; www.polpharma.pl. ChPL: 2015.07.16. </w:t>
      </w:r>
      <w:r>
        <w:rPr>
          <w:rFonts w:ascii="Arial" w:eastAsia="Times New Roman" w:hAnsi="Arial" w:cs="Arial"/>
          <w:sz w:val="20"/>
          <w:szCs w:val="20"/>
        </w:rPr>
        <w:br/>
      </w:r>
      <w:r>
        <w:rPr>
          <w:rFonts w:ascii="Arial" w:eastAsia="Times New Roman" w:hAnsi="Arial" w:cs="Arial"/>
          <w:sz w:val="20"/>
          <w:szCs w:val="20"/>
        </w:rPr>
        <w:br/>
      </w:r>
    </w:p>
    <w:p w14:paraId="38704626" w14:textId="77777777" w:rsidR="008E7FF7" w:rsidRPr="003F0905" w:rsidRDefault="008E7FF7" w:rsidP="008E7FF7">
      <w:pPr>
        <w:jc w:val="both"/>
        <w:rPr>
          <w:sz w:val="44"/>
        </w:rPr>
      </w:pPr>
      <w:r w:rsidRPr="003F0905">
        <w:rPr>
          <w:rFonts w:ascii="Arial" w:eastAsia="Times New Roman" w:hAnsi="Arial" w:cs="Arial"/>
          <w:sz w:val="24"/>
          <w:szCs w:val="20"/>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sectPr w:rsidR="008E7FF7" w:rsidRPr="003F0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ato">
    <w:altName w:val="Segoe UI"/>
    <w:panose1 w:val="020F0502020204030203"/>
    <w:charset w:val="EE"/>
    <w:family w:val="swiss"/>
    <w:pitch w:val="variable"/>
    <w:sig w:usb0="E10002FF" w:usb1="5000EC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F7"/>
    <w:rsid w:val="000A15BD"/>
    <w:rsid w:val="00167B6F"/>
    <w:rsid w:val="003F0905"/>
    <w:rsid w:val="00814BE9"/>
    <w:rsid w:val="008E7FF7"/>
    <w:rsid w:val="00903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D4D2"/>
  <w15:chartTrackingRefBased/>
  <w15:docId w15:val="{EEA0E5CA-82BA-420C-972F-C476C37C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0553C-3E69-4812-AD6B-19E314E54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329D8-D5FB-4BEB-B9FB-BC28B4D24514}">
  <ds:schemaRefs>
    <ds:schemaRef ds:uri="http://schemas.microsoft.com/sharepoint/v3/contenttype/forms"/>
  </ds:schemaRefs>
</ds:datastoreItem>
</file>

<file path=customXml/itemProps3.xml><?xml version="1.0" encoding="utf-8"?>
<ds:datastoreItem xmlns:ds="http://schemas.openxmlformats.org/officeDocument/2006/customXml" ds:itemID="{DCE4A30F-0577-46D8-BBB2-7B2A15A27161}">
  <ds:schemaRef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795e9a5-8920-4954-9141-eaafe1e2d9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2176</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Karaś Agata</dc:creator>
  <cp:keywords/>
  <dc:description/>
  <cp:lastModifiedBy>Ciuchta Małgorzata</cp:lastModifiedBy>
  <cp:revision>2</cp:revision>
  <dcterms:created xsi:type="dcterms:W3CDTF">2019-07-23T09:24:00Z</dcterms:created>
  <dcterms:modified xsi:type="dcterms:W3CDTF">2019-07-23T09:24:00Z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ies>
</file>