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65C2B" w14:textId="77777777"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14:paraId="56C65C2C" w14:textId="77777777"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56C65C35" wp14:editId="56C65C36">
            <wp:extent cx="3345853" cy="236601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rd_150mg_60_tab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873" cy="23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65C2D" w14:textId="77777777"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C65C2E" w14:textId="77777777"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C65C2F" w14:textId="77777777"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C65C30" w14:textId="77777777"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C65C31" w14:textId="77777777"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C65C32" w14:textId="77777777" w:rsidR="00652B16" w:rsidRDefault="00652B1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C65C33" w14:textId="77777777" w:rsidR="00F02890" w:rsidRDefault="00FE7C0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Acard 150 mg.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Jedna tabletka dojelitowa zawiera 150 mg kwasu acetylosalicylowego.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Choroba niedokrwienna serca oraz wszelkie sytuacje kliniczne, w których celowe jest hamowanie agregacji płytek krwi: zapobieganie zawałowi serca u osób dużego ryzyka, świeży zawał serca lub podejrzenie świeżego zawału serca, po przebytym epizodzie niestabilnej choroby wieńcowej,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TIA,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Decyzję o rozpoczęciu leczenia kwasem acetylosalicylowym i stosowanej dawce powinien podjąć lekarz.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Produktu Acard 150 mg nie należy stosować: w przypadku nadwrażliwości na kwas acetylosalicylowy, inne salicylany lub na którąkolwiek substancję pomocniczą produktu leczniczego; u pacjentów ze skazą krwotoczną, u pacjentów z czynną chorobą wrzodową żołądka i (lub) dwunastnicy; u pacjentów z ciężką niewydolnością nerek; u pacjentów z ciężką niewydolnością wątroby; u pacjentów z ciężką niewydolnością serca; u pacjentów z napadami tzw. astmy aspirynowej w wywiadzie, wywołanymi podaniem salicylanów lub substancji o podobnym działaniu, szczególnie niesteroidowych leków przeciwzapalnych; jednocześnie z metotreksatem w dawkach 15 mg na tydzień lub większych; w ostatnim trymestrze ciąży; u pacjentów z dną moczanową; u pacjentów z niedoborem dehydrogenazy glukozo-6-fosforanowej; u dzieci i młodzieży w wieku do 16 lat w przebiegu infekcji wirusowych ze względu na ryzyko wystąpienia zespołu Reye’a – rzadko występującej, ale ciężkiej choroby powodującej uszkodzenie wątroby i mózgu.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Dodatkowych informacji o leku udziela: Polpharma Biuro Handlowe Sp. z o.o., ul. Bobrowiecka 6, 00-728 Warszawa, tel.: +48 22 364 61 00; faks: +48 22 364 61 02. www.polpharma.pl.ChPL:2017.05.31. </w:t>
      </w:r>
    </w:p>
    <w:p w14:paraId="56C65C34" w14:textId="77777777" w:rsidR="00FE7C0E" w:rsidRDefault="00A956A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65C37" wp14:editId="56C65C38">
                <wp:simplePos x="0" y="0"/>
                <wp:positionH relativeFrom="column">
                  <wp:posOffset>47624</wp:posOffset>
                </wp:positionH>
                <wp:positionV relativeFrom="paragraph">
                  <wp:posOffset>53975</wp:posOffset>
                </wp:positionV>
                <wp:extent cx="65436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E1D7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.25pt" to="51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="00FE7C0E"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="00FE7C0E">
        <w:rPr>
          <w:rFonts w:ascii="Arial" w:eastAsia="Times New Roman" w:hAnsi="Arial" w:cs="Arial"/>
          <w:sz w:val="20"/>
          <w:szCs w:val="20"/>
        </w:rPr>
        <w:br/>
      </w:r>
      <w:r w:rsidR="00FE7C0E">
        <w:rPr>
          <w:rFonts w:ascii="Arial" w:eastAsia="Times New Roman" w:hAnsi="Arial" w:cs="Arial"/>
          <w:sz w:val="20"/>
          <w:szCs w:val="20"/>
        </w:rPr>
        <w:br/>
      </w:r>
      <w:r w:rsidR="00DD0986">
        <w:rPr>
          <w:rFonts w:ascii="Arial" w:eastAsia="Times New Roman" w:hAnsi="Arial" w:cs="Arial"/>
          <w:sz w:val="20"/>
          <w:szCs w:val="20"/>
        </w:rPr>
        <w:t>ACRD/646/06-2019</w:t>
      </w:r>
    </w:p>
    <w:sectPr w:rsidR="00FE7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78"/>
    <w:rsid w:val="0032323A"/>
    <w:rsid w:val="00652B16"/>
    <w:rsid w:val="00A956A6"/>
    <w:rsid w:val="00B56D35"/>
    <w:rsid w:val="00C52478"/>
    <w:rsid w:val="00DD0986"/>
    <w:rsid w:val="00F02890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65C2B"/>
  <w15:chartTrackingRefBased/>
  <w15:docId w15:val="{6C760250-EBDE-47F4-8866-3A73E71F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B4425-BAF4-49C5-B4B0-6C46380A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F634D-7938-45A5-998F-E601E090C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55E6E-A582-4097-BAA0-0F4C1D71B3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Ciuchta Małgorzata</cp:lastModifiedBy>
  <cp:revision>2</cp:revision>
  <dcterms:created xsi:type="dcterms:W3CDTF">2019-07-23T09:57:00Z</dcterms:created>
  <dcterms:modified xsi:type="dcterms:W3CDTF">2019-07-23T09:57:00Z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