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628D" w14:textId="52E0B63E" w:rsidR="00814BE9" w:rsidRDefault="001E4060" w:rsidP="008E7FF7">
      <w:pPr>
        <w:jc w:val="center"/>
        <w:rPr>
          <w:rFonts w:ascii="Lato" w:hAnsi="Lato" w:cs="Helvetica"/>
          <w:noProof/>
          <w:color w:val="0A0A0A"/>
          <w:sz w:val="29"/>
          <w:szCs w:val="15"/>
        </w:rPr>
      </w:pPr>
      <w:bookmarkStart w:id="0" w:name="_GoBack"/>
      <w:bookmarkEnd w:id="0"/>
      <w:r w:rsidRPr="008405D2">
        <w:rPr>
          <w:rFonts w:ascii="Lato" w:hAnsi="Lato" w:cs="Helvetica"/>
          <w:noProof/>
          <w:color w:val="0A0A0A"/>
          <w:sz w:val="29"/>
          <w:szCs w:val="15"/>
          <w:lang w:eastAsia="pl-PL"/>
        </w:rPr>
        <w:drawing>
          <wp:anchor distT="0" distB="0" distL="114300" distR="114300" simplePos="0" relativeHeight="251658240" behindDoc="0" locked="0" layoutInCell="1" allowOverlap="1" wp14:anchorId="29D20CD4" wp14:editId="13EA6C6D">
            <wp:simplePos x="0" y="0"/>
            <wp:positionH relativeFrom="column">
              <wp:posOffset>2367280</wp:posOffset>
            </wp:positionH>
            <wp:positionV relativeFrom="paragraph">
              <wp:posOffset>300355</wp:posOffset>
            </wp:positionV>
            <wp:extent cx="2705100" cy="1752600"/>
            <wp:effectExtent l="0" t="0" r="0" b="0"/>
            <wp:wrapThrough wrapText="bothSides">
              <wp:wrapPolygon edited="0">
                <wp:start x="17189" y="0"/>
                <wp:lineTo x="0" y="470"/>
                <wp:lineTo x="0" y="20896"/>
                <wp:lineTo x="17341" y="21365"/>
                <wp:lineTo x="21448" y="21365"/>
                <wp:lineTo x="21448" y="0"/>
                <wp:lineTo x="17189" y="0"/>
              </wp:wrapPolygon>
            </wp:wrapThrough>
            <wp:docPr id="1" name="Obraz 1" descr="https://eureka.polpharma.net/services/index.php?start=FileView&amp;mode=prd_file&amp;pfid=2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eka.polpharma.net/services/index.php?start=FileView&amp;mode=prd_file&amp;pfid=23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ato" w:hAnsi="Lato" w:cs="Helvetica"/>
          <w:noProof/>
          <w:color w:val="0A0A0A"/>
          <w:sz w:val="29"/>
          <w:szCs w:val="15"/>
        </w:rPr>
        <w:t xml:space="preserve"> </w:t>
      </w:r>
      <w:r w:rsidR="009A69D6" w:rsidRPr="008405D2">
        <w:rPr>
          <w:rFonts w:ascii="Lato" w:hAnsi="Lato" w:cs="Helvetica"/>
          <w:noProof/>
          <w:color w:val="0A0A0A"/>
          <w:sz w:val="29"/>
          <w:szCs w:val="15"/>
        </w:rPr>
        <w:t>NA BÓL GŁOWY ETOPIRYNA</w:t>
      </w:r>
    </w:p>
    <w:p w14:paraId="1012752B" w14:textId="52DD7931" w:rsidR="001E4060" w:rsidRDefault="001E4060" w:rsidP="001E4060">
      <w:pPr>
        <w:pStyle w:val="Akapitzlist"/>
        <w:rPr>
          <w:rFonts w:ascii="Lato" w:hAnsi="Lato" w:cs="Helvetica"/>
          <w:noProof/>
          <w:color w:val="0A0A0A"/>
          <w:sz w:val="25"/>
          <w:szCs w:val="15"/>
        </w:rPr>
      </w:pPr>
    </w:p>
    <w:p w14:paraId="20A7BBF4" w14:textId="234E5B54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Sprawdzona</w:t>
      </w:r>
    </w:p>
    <w:p w14:paraId="41920950" w14:textId="2F994CDB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Wyrożniona jakość</w:t>
      </w:r>
    </w:p>
    <w:p w14:paraId="15914167" w14:textId="1EBAC573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Dobra cena</w:t>
      </w:r>
    </w:p>
    <w:p w14:paraId="7E358C63" w14:textId="2B135657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Polski produkt</w:t>
      </w:r>
    </w:p>
    <w:p w14:paraId="09AB1902" w14:textId="77777777" w:rsidR="001E4060" w:rsidRDefault="001E4060" w:rsidP="008E7FF7">
      <w:pPr>
        <w:jc w:val="center"/>
        <w:rPr>
          <w:sz w:val="36"/>
        </w:rPr>
      </w:pPr>
    </w:p>
    <w:p w14:paraId="1C05803C" w14:textId="77777777" w:rsidR="008E7FF7" w:rsidRDefault="008E7FF7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A153C71" w14:textId="77777777" w:rsidR="008E7FF7" w:rsidRDefault="008E7FF7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BC68D5" w14:textId="77777777" w:rsidR="008E7FF7" w:rsidRDefault="008E7FF7" w:rsidP="008E7F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Etopiryna tabletki od bólu głowy.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300 mg kwasu acetylosalicylowego, 100 mg etenzamidu, 50 mg kofeiny. Substancja pomocnicza o znanym działaniu: laktoza jednowodna.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Bóle głowy oraz inne bóle o umiarkowanym nasileniu, zwłaszcza pochodzenia zapalnego.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leczniczego nie należy stosować w następujących przypadkach: nadwrażliwość na substancję czynną lub na którąkolwiek substancję pomocniczą leku. Nadwrażliwość na kwas acetylosalicylowy występuje u 0,3% populacji, w tym u 20% chorych na astmę oskrzelową lub przewlekłą pokrzywkę. Objawy nadwrażliwości: pokrzywka, a nawet wstrząs, mogą wystąpić w ciągu 3 godzin od przyjęcia kwasu acetylosalicylowego; nadwrażliwość na inne niesteroidowe leki przeciwzapalne, przebiegająca z objawami takimi jak: skurcz oskrzeli, katar sienny, wstrząs; astma oskrzelowa, przewlekłe schorzenia układu oddechowego, gorączka sienna lub obrzęk błony śluzowej nosa, gdyż pacjenci z tymi schorzeniami mogą reagować na niesteroidowe leki przeciwzapalne napadami astmy, ograniczonym obrzękiem skóry i błony śluzowej (obrzęk naczynioruchowy) lub pokrzywką częściej niż inni pacjenci; czynna choroba wrzodowa żołądka i (lub) dwunastnicy oraz stany zapalne lub krwawienia z przewodu pokarmowego (może dojść do wystąpienia krwawienia z przewodu pokarmowego lub uczynnienia choroby wrzodowej); ciężka niewydolność wątroby lub nerek; ciężka niewydolność serca; zaburzenia krzepnięcia krwi (np. hemofilia, małopłytkowość) oraz jednoczesne leczenie środkami przeciwzakrzepowymi (np. pochodne kumaryny, heparyna); niedobór dehydrogenazy glukozo-6-fosforanowej; jednoczesne stosowanie z metotreksatem w dawkach 15 mg tygodniowo lub większych, ze względu na mielotoksyczność; u dzieci i młodzieży w wieku poniżej 16 lat, zwłaszcza w przebiegu infekcji wirusowych, ze względu na ryzyko wystąpienia zespołu Reye'a; ostatni trymestr ciąży i okres karmienia piersią.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Warszawa; tel.: +48 22 364 61 00; faks: +48 22 364 61 02; </w:t>
      </w:r>
    </w:p>
    <w:p w14:paraId="460E8C8B" w14:textId="77777777" w:rsidR="008E7FF7" w:rsidRPr="008E7FF7" w:rsidRDefault="008E7FF7" w:rsidP="008E7FF7">
      <w:pPr>
        <w:jc w:val="both"/>
        <w:rPr>
          <w:rFonts w:ascii="Arial" w:eastAsia="Times New Roman" w:hAnsi="Arial" w:cs="Arial"/>
          <w:sz w:val="28"/>
          <w:szCs w:val="20"/>
        </w:rPr>
      </w:pPr>
    </w:p>
    <w:p w14:paraId="3732902E" w14:textId="77777777" w:rsidR="008E7FF7" w:rsidRPr="008E7FF7" w:rsidRDefault="008E7FF7" w:rsidP="008E7FF7">
      <w:pPr>
        <w:jc w:val="both"/>
        <w:rPr>
          <w:sz w:val="48"/>
        </w:rPr>
      </w:pPr>
      <w:r w:rsidRPr="008E7FF7">
        <w:rPr>
          <w:rFonts w:ascii="Arial" w:eastAsia="Times New Roman" w:hAnsi="Arial" w:cs="Arial"/>
          <w:sz w:val="28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8E7FF7" w:rsidRPr="008E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26D"/>
    <w:multiLevelType w:val="hybridMultilevel"/>
    <w:tmpl w:val="32E8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7"/>
    <w:rsid w:val="001E4060"/>
    <w:rsid w:val="00470890"/>
    <w:rsid w:val="00814BE9"/>
    <w:rsid w:val="008405D2"/>
    <w:rsid w:val="008E7FF7"/>
    <w:rsid w:val="009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7D8"/>
  <w15:chartTrackingRefBased/>
  <w15:docId w15:val="{EEA0E5CA-82BA-420C-972F-C476C37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496B0-DA99-4AA9-8CF6-E299586C9C12}">
  <ds:schemaRefs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DA77DC-8A07-45BC-8368-E9A87AE7A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50435-127B-4DB0-BB5B-EDADAD79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Ciuchta Małgorzata</cp:lastModifiedBy>
  <cp:revision>2</cp:revision>
  <dcterms:created xsi:type="dcterms:W3CDTF">2019-09-11T09:35:00Z</dcterms:created>
  <dcterms:modified xsi:type="dcterms:W3CDTF">2019-09-11T09:35:00Z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