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F62B74" w14:textId="77777777" w:rsidR="00AB7A49" w:rsidRPr="00AB7A49" w:rsidRDefault="00AB7A49" w:rsidP="00AB7A49">
      <w:pPr>
        <w:pStyle w:val="Nagwek1"/>
        <w:jc w:val="both"/>
        <w:rPr>
          <w:rFonts w:ascii="Century Gothic" w:hAnsi="Century Gothic"/>
          <w:sz w:val="24"/>
          <w:szCs w:val="24"/>
          <w:lang w:val="en-US"/>
        </w:rPr>
      </w:pPr>
      <w:bookmarkStart w:id="0" w:name="_GoBack"/>
      <w:bookmarkEnd w:id="0"/>
      <w:r w:rsidRPr="00AB7A49">
        <w:rPr>
          <w:rFonts w:ascii="Century Gothic" w:hAnsi="Century Gothic"/>
          <w:sz w:val="24"/>
          <w:szCs w:val="24"/>
          <w:lang w:val="en-US"/>
        </w:rPr>
        <w:t>Acidolac Junior (truskawka) x 20 tabl.</w:t>
      </w:r>
    </w:p>
    <w:p w14:paraId="3CE78DBE" w14:textId="23906A27" w:rsidR="00521221" w:rsidRPr="00AB7A49" w:rsidRDefault="00521221" w:rsidP="00AB7A49">
      <w:pPr>
        <w:jc w:val="both"/>
        <w:rPr>
          <w:rFonts w:ascii="Century Gothic" w:hAnsi="Century Gothic"/>
          <w:sz w:val="20"/>
          <w:szCs w:val="20"/>
          <w:lang w:val="en-US"/>
        </w:rPr>
      </w:pPr>
    </w:p>
    <w:p w14:paraId="04EB5A21" w14:textId="53ED5763" w:rsidR="00AB7A49" w:rsidRPr="00AB7A49" w:rsidRDefault="00AB7A49" w:rsidP="00AB7A49">
      <w:pPr>
        <w:jc w:val="both"/>
        <w:rPr>
          <w:rFonts w:ascii="Century Gothic" w:hAnsi="Century Gothic"/>
          <w:sz w:val="20"/>
          <w:szCs w:val="20"/>
          <w:lang w:val="en-US"/>
        </w:rPr>
      </w:pPr>
    </w:p>
    <w:p w14:paraId="533E6208" w14:textId="7AEDC21A" w:rsidR="00AB7A49" w:rsidRPr="00AB7A49" w:rsidRDefault="00AB7A49" w:rsidP="00AB7A49">
      <w:pPr>
        <w:jc w:val="both"/>
        <w:rPr>
          <w:rFonts w:ascii="Century Gothic" w:hAnsi="Century Gothic"/>
          <w:sz w:val="20"/>
          <w:szCs w:val="20"/>
        </w:rPr>
      </w:pPr>
      <w:r w:rsidRPr="00AB7A49">
        <w:rPr>
          <w:rFonts w:ascii="Century Gothic" w:hAnsi="Century Gothic"/>
          <w:noProof/>
          <w:sz w:val="20"/>
          <w:szCs w:val="20"/>
          <w:lang w:eastAsia="pl-PL"/>
        </w:rPr>
        <w:drawing>
          <wp:inline distT="0" distB="0" distL="0" distR="0" wp14:anchorId="7ECF82C9" wp14:editId="617EE857">
            <wp:extent cx="3388995" cy="2888042"/>
            <wp:effectExtent l="0" t="0" r="190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4037" cy="290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21934D" w14:textId="585BA7B6" w:rsidR="00AB7A49" w:rsidRPr="00AB7A49" w:rsidRDefault="00AB7A49" w:rsidP="00AB7A49">
      <w:pPr>
        <w:jc w:val="both"/>
        <w:rPr>
          <w:rFonts w:ascii="Century Gothic" w:hAnsi="Century Gothic"/>
          <w:sz w:val="20"/>
          <w:szCs w:val="20"/>
        </w:rPr>
      </w:pPr>
      <w:r w:rsidRPr="00AB7A49">
        <w:rPr>
          <w:rStyle w:val="descrbody"/>
          <w:rFonts w:ascii="Century Gothic" w:hAnsi="Century Gothic"/>
          <w:sz w:val="20"/>
          <w:szCs w:val="20"/>
        </w:rPr>
        <w:t>Suplement diety łączący w składzie szczepy bakterii</w:t>
      </w:r>
      <w:r w:rsidRPr="00AB7A49">
        <w:rPr>
          <w:rStyle w:val="descrbody"/>
          <w:rFonts w:ascii="Century Gothic" w:hAnsi="Century Gothic"/>
          <w:i/>
          <w:iCs/>
          <w:sz w:val="20"/>
          <w:szCs w:val="20"/>
        </w:rPr>
        <w:t xml:space="preserve"> Lactobacillus acidophilus</w:t>
      </w:r>
      <w:r w:rsidRPr="00AB7A49">
        <w:rPr>
          <w:rStyle w:val="descrbody"/>
          <w:rFonts w:ascii="Century Gothic" w:hAnsi="Century Gothic"/>
          <w:sz w:val="20"/>
          <w:szCs w:val="20"/>
        </w:rPr>
        <w:t xml:space="preserve"> La-14TM i </w:t>
      </w:r>
      <w:r w:rsidRPr="00AB7A49">
        <w:rPr>
          <w:rStyle w:val="descrbody"/>
          <w:rFonts w:ascii="Century Gothic" w:hAnsi="Century Gothic"/>
          <w:i/>
          <w:iCs/>
          <w:sz w:val="20"/>
          <w:szCs w:val="20"/>
        </w:rPr>
        <w:t>Bifidobacterium lactis</w:t>
      </w:r>
      <w:r w:rsidRPr="00AB7A49">
        <w:rPr>
          <w:rStyle w:val="descrbody"/>
          <w:rFonts w:ascii="Century Gothic" w:hAnsi="Century Gothic"/>
          <w:sz w:val="20"/>
          <w:szCs w:val="20"/>
        </w:rPr>
        <w:t xml:space="preserve"> BI-04TM, fruktooligosacharydy (FOS) oraz wit. B</w:t>
      </w:r>
      <w:r w:rsidRPr="00AB7A49">
        <w:rPr>
          <w:rStyle w:val="descrbody"/>
          <w:rFonts w:ascii="Century Gothic" w:hAnsi="Century Gothic"/>
          <w:sz w:val="20"/>
          <w:szCs w:val="20"/>
          <w:vertAlign w:val="subscript"/>
        </w:rPr>
        <w:t>6</w:t>
      </w:r>
      <w:r w:rsidRPr="00AB7A49">
        <w:rPr>
          <w:rStyle w:val="descrbody"/>
          <w:rFonts w:ascii="Century Gothic" w:hAnsi="Century Gothic"/>
          <w:sz w:val="20"/>
          <w:szCs w:val="20"/>
        </w:rPr>
        <w:t xml:space="preserve">, która wspomaga prawidłowe funkcjonowanie układu odpornościowego. Suplement diety należy przyjmować w celu przywrócenia właściwej równowagi flory bakteryjnej przewodu pokarmowego. Produkt można stosować także w podróży ze zmianą strefy klimatycznej, kiedy w przewodzie pokarmowym dochodzi do zmian w składzie mikroflory. </w:t>
      </w:r>
    </w:p>
    <w:p w14:paraId="691CF046" w14:textId="68C8D99C" w:rsidR="00AB7A49" w:rsidRPr="00AB7A49" w:rsidRDefault="00AB7A49" w:rsidP="00AB7A49">
      <w:pPr>
        <w:pStyle w:val="Nagwek3"/>
        <w:jc w:val="both"/>
        <w:rPr>
          <w:rFonts w:ascii="Century Gothic" w:hAnsi="Century Gothic"/>
          <w:color w:val="auto"/>
          <w:sz w:val="20"/>
          <w:szCs w:val="20"/>
        </w:rPr>
      </w:pPr>
      <w:r w:rsidRPr="00AB7A49">
        <w:rPr>
          <w:rStyle w:val="descrhead"/>
          <w:rFonts w:ascii="Century Gothic" w:hAnsi="Century Gothic"/>
          <w:color w:val="auto"/>
          <w:sz w:val="20"/>
          <w:szCs w:val="20"/>
        </w:rPr>
        <w:t>Składniki:</w:t>
      </w:r>
    </w:p>
    <w:p w14:paraId="163A9EA6" w14:textId="77777777" w:rsidR="00AB7A49" w:rsidRPr="00AB7A49" w:rsidRDefault="00AB7A49" w:rsidP="00AB7A49">
      <w:pPr>
        <w:jc w:val="both"/>
        <w:rPr>
          <w:rFonts w:ascii="Century Gothic" w:hAnsi="Century Gothic"/>
          <w:sz w:val="20"/>
          <w:szCs w:val="20"/>
        </w:rPr>
      </w:pPr>
      <w:r w:rsidRPr="00AB7A49">
        <w:rPr>
          <w:rStyle w:val="descrbody"/>
          <w:rFonts w:ascii="Century Gothic" w:hAnsi="Century Gothic"/>
          <w:sz w:val="20"/>
          <w:szCs w:val="20"/>
        </w:rPr>
        <w:t>1 tabl. zawiera: 1 mln (1 x 10</w:t>
      </w:r>
      <w:r w:rsidRPr="00AB7A49">
        <w:rPr>
          <w:rStyle w:val="descrbody"/>
          <w:rFonts w:ascii="Century Gothic" w:hAnsi="Century Gothic"/>
          <w:sz w:val="20"/>
          <w:szCs w:val="20"/>
          <w:vertAlign w:val="superscript"/>
        </w:rPr>
        <w:t>6</w:t>
      </w:r>
      <w:r w:rsidRPr="00AB7A49">
        <w:rPr>
          <w:rStyle w:val="descrbody"/>
          <w:rFonts w:ascii="Century Gothic" w:hAnsi="Century Gothic"/>
          <w:sz w:val="20"/>
          <w:szCs w:val="20"/>
        </w:rPr>
        <w:t xml:space="preserve"> CFU) </w:t>
      </w:r>
      <w:r w:rsidRPr="00AB7A49">
        <w:rPr>
          <w:rStyle w:val="descrbody"/>
          <w:rFonts w:ascii="Century Gothic" w:hAnsi="Century Gothic"/>
          <w:i/>
          <w:iCs/>
          <w:sz w:val="20"/>
          <w:szCs w:val="20"/>
        </w:rPr>
        <w:t>Lactobacillus acidophilus</w:t>
      </w:r>
      <w:r w:rsidRPr="00AB7A49">
        <w:rPr>
          <w:rStyle w:val="descrbody"/>
          <w:rFonts w:ascii="Century Gothic" w:hAnsi="Century Gothic"/>
          <w:sz w:val="20"/>
          <w:szCs w:val="20"/>
        </w:rPr>
        <w:t xml:space="preserve"> La-14TM, 1 mln (1 x 10</w:t>
      </w:r>
      <w:r w:rsidRPr="00AB7A49">
        <w:rPr>
          <w:rStyle w:val="descrbody"/>
          <w:rFonts w:ascii="Century Gothic" w:hAnsi="Century Gothic"/>
          <w:sz w:val="20"/>
          <w:szCs w:val="20"/>
          <w:vertAlign w:val="superscript"/>
        </w:rPr>
        <w:t>6</w:t>
      </w:r>
      <w:r w:rsidRPr="00AB7A49">
        <w:rPr>
          <w:rStyle w:val="descrbody"/>
          <w:rFonts w:ascii="Century Gothic" w:hAnsi="Century Gothic"/>
          <w:sz w:val="20"/>
          <w:szCs w:val="20"/>
        </w:rPr>
        <w:t xml:space="preserve"> CFU) </w:t>
      </w:r>
      <w:r w:rsidRPr="00AB7A49">
        <w:rPr>
          <w:rStyle w:val="descrbody"/>
          <w:rFonts w:ascii="Century Gothic" w:hAnsi="Century Gothic"/>
          <w:i/>
          <w:iCs/>
          <w:sz w:val="20"/>
          <w:szCs w:val="20"/>
        </w:rPr>
        <w:t>Bifidobacterium lactis</w:t>
      </w:r>
      <w:r w:rsidRPr="00AB7A49">
        <w:rPr>
          <w:rStyle w:val="descrbody"/>
          <w:rFonts w:ascii="Century Gothic" w:hAnsi="Century Gothic"/>
          <w:sz w:val="20"/>
          <w:szCs w:val="20"/>
        </w:rPr>
        <w:t xml:space="preserve"> BI-04TM, 270 mg fruktooligosacharydów (FOS), 0,35 mg wit. B</w:t>
      </w:r>
      <w:r w:rsidRPr="00AB7A49">
        <w:rPr>
          <w:rStyle w:val="descrbody"/>
          <w:rFonts w:ascii="Century Gothic" w:hAnsi="Century Gothic"/>
          <w:sz w:val="20"/>
          <w:szCs w:val="20"/>
          <w:vertAlign w:val="subscript"/>
        </w:rPr>
        <w:t xml:space="preserve">6, </w:t>
      </w:r>
      <w:r w:rsidRPr="00AB7A49">
        <w:rPr>
          <w:rStyle w:val="descrbody"/>
          <w:rFonts w:ascii="Century Gothic" w:hAnsi="Century Gothic"/>
          <w:sz w:val="20"/>
          <w:szCs w:val="20"/>
        </w:rPr>
        <w:t>substancja słodząca maltitol, olej palmowy, odtłuszczone mleko w proszku, aromat, emulgator lecytyna, przeciwutleniacze: mieszanina tokoferoli (zawiera soję), estry kwasów tłuszczowych i kwasu askorbinowego.</w:t>
      </w:r>
      <w:r w:rsidRPr="00AB7A49">
        <w:rPr>
          <w:rFonts w:ascii="Century Gothic" w:hAnsi="Century Gothic"/>
          <w:sz w:val="20"/>
          <w:szCs w:val="20"/>
        </w:rPr>
        <w:t xml:space="preserve"> </w:t>
      </w:r>
    </w:p>
    <w:p w14:paraId="61E50B63" w14:textId="77777777" w:rsidR="00AB7A49" w:rsidRPr="00AB7A49" w:rsidRDefault="00AB7A49" w:rsidP="00AB7A49">
      <w:pPr>
        <w:pStyle w:val="Nagwek3"/>
        <w:jc w:val="both"/>
        <w:rPr>
          <w:rFonts w:ascii="Century Gothic" w:hAnsi="Century Gothic"/>
          <w:color w:val="auto"/>
          <w:sz w:val="20"/>
          <w:szCs w:val="20"/>
        </w:rPr>
      </w:pPr>
      <w:r w:rsidRPr="00AB7A49">
        <w:rPr>
          <w:rStyle w:val="descrhead"/>
          <w:rFonts w:ascii="Century Gothic" w:hAnsi="Century Gothic"/>
          <w:color w:val="auto"/>
          <w:sz w:val="20"/>
          <w:szCs w:val="20"/>
        </w:rPr>
        <w:t>Bezpieczeństwo stosowania:</w:t>
      </w:r>
    </w:p>
    <w:p w14:paraId="2AF2C0F0" w14:textId="77777777" w:rsidR="00AB7A49" w:rsidRPr="00AB7A49" w:rsidRDefault="00AB7A49" w:rsidP="00AB7A49">
      <w:pPr>
        <w:jc w:val="both"/>
        <w:rPr>
          <w:rFonts w:ascii="Century Gothic" w:hAnsi="Century Gothic"/>
          <w:sz w:val="20"/>
          <w:szCs w:val="20"/>
        </w:rPr>
      </w:pPr>
      <w:r w:rsidRPr="00AB7A49">
        <w:rPr>
          <w:rStyle w:val="descrbody"/>
          <w:rFonts w:ascii="Century Gothic" w:hAnsi="Century Gothic"/>
          <w:sz w:val="20"/>
          <w:szCs w:val="20"/>
        </w:rPr>
        <w:t>Produkt bezglutenowy. Nie zawiera sacharozy. Nie należy przekraczać zalecanej porcji do spożycia w ciągu dnia. Zrównoważona i zróżnicowana dieta oraz zdrowy styl życia są podstawą zapewnienia prawidłowego funkcjonowania organizmu. Suplement diety nie może być stosowany jako substytut zróżnicowanej diety. Korzystny efekt wynikający z deklarowanego działania występuje w przypadku spożycia 2 tabl./dobę. Nie stosować u osób uczulonych na którykolwiek ze składników produktu. Spożycie w nadmiernych ilościach może mieć efekt przeczyszczający. Przechowywać w temp. 15-25°C. Chronić od światła i wilgoci. Przechowywać w sposób niedostępny dla małych dzieci.</w:t>
      </w:r>
      <w:r w:rsidRPr="00AB7A49">
        <w:rPr>
          <w:rFonts w:ascii="Century Gothic" w:hAnsi="Century Gothic"/>
          <w:sz w:val="20"/>
          <w:szCs w:val="20"/>
        </w:rPr>
        <w:t xml:space="preserve"> </w:t>
      </w:r>
    </w:p>
    <w:p w14:paraId="3DE08736" w14:textId="123A0EEF" w:rsidR="00AB7A49" w:rsidRPr="00AB7A49" w:rsidRDefault="00AB7A49" w:rsidP="00AB7A49">
      <w:pPr>
        <w:pStyle w:val="Nagwek3"/>
        <w:jc w:val="both"/>
        <w:rPr>
          <w:rFonts w:ascii="Century Gothic" w:hAnsi="Century Gothic"/>
          <w:color w:val="auto"/>
          <w:sz w:val="20"/>
          <w:szCs w:val="20"/>
        </w:rPr>
      </w:pPr>
      <w:r w:rsidRPr="00AB7A49">
        <w:rPr>
          <w:rStyle w:val="descrhead"/>
          <w:rFonts w:ascii="Century Gothic" w:hAnsi="Century Gothic"/>
          <w:color w:val="auto"/>
          <w:sz w:val="20"/>
          <w:szCs w:val="20"/>
        </w:rPr>
        <w:t>Zalecane spożycie:</w:t>
      </w:r>
    </w:p>
    <w:p w14:paraId="0E3C4BCC" w14:textId="69AFFC27" w:rsidR="00AB7A49" w:rsidRPr="00AB7A49" w:rsidRDefault="00AB7A49" w:rsidP="00AB7A49">
      <w:pPr>
        <w:jc w:val="both"/>
        <w:rPr>
          <w:rFonts w:ascii="Century Gothic" w:hAnsi="Century Gothic"/>
          <w:sz w:val="20"/>
          <w:szCs w:val="20"/>
        </w:rPr>
      </w:pPr>
      <w:r w:rsidRPr="00AB7A49">
        <w:rPr>
          <w:rStyle w:val="descrbody"/>
          <w:rFonts w:ascii="Century Gothic" w:hAnsi="Century Gothic"/>
          <w:sz w:val="20"/>
          <w:szCs w:val="20"/>
        </w:rPr>
        <w:t>Dzieci powyżej 3 rż. i dorośli: 1 tabl. 2x/dobę.</w:t>
      </w:r>
    </w:p>
    <w:sectPr w:rsidR="00AB7A49" w:rsidRPr="00AB7A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0D0"/>
    <w:rsid w:val="001A50D0"/>
    <w:rsid w:val="00521221"/>
    <w:rsid w:val="00AB7A49"/>
    <w:rsid w:val="00B07686"/>
    <w:rsid w:val="00D64AF8"/>
    <w:rsid w:val="00E63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AAF10"/>
  <w15:chartTrackingRefBased/>
  <w15:docId w15:val="{E2343E53-13A5-4793-BD93-848ED766B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5212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122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122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122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descrhead">
    <w:name w:val="descr_head"/>
    <w:basedOn w:val="Domylnaczcionkaakapitu"/>
    <w:rsid w:val="00521221"/>
  </w:style>
  <w:style w:type="character" w:customStyle="1" w:styleId="descrbody">
    <w:name w:val="descr_body"/>
    <w:basedOn w:val="Domylnaczcionkaakapitu"/>
    <w:rsid w:val="005212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3E7ECDC3E69D44940611E92D412732" ma:contentTypeVersion="1" ma:contentTypeDescription="Utwórz nowy dokument." ma:contentTypeScope="" ma:versionID="c3c8b85c6e3b3328b3348e925b1f07d0">
  <xsd:schema xmlns:xsd="http://www.w3.org/2001/XMLSchema" xmlns:xs="http://www.w3.org/2001/XMLSchema" xmlns:p="http://schemas.microsoft.com/office/2006/metadata/properties" xmlns:ns2="c795e9a5-8920-4954-9141-eaafe1e2d940" targetNamespace="http://schemas.microsoft.com/office/2006/metadata/properties" ma:root="true" ma:fieldsID="4fa32f6162536744f3063b3a66bc4ea0" ns2:_="">
    <xsd:import namespace="c795e9a5-8920-4954-9141-eaafe1e2d94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5e9a5-8920-4954-9141-eaafe1e2d9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E43A39-D3EF-4F85-90EF-9E169699DF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5e9a5-8920-4954-9141-eaafe1e2d9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841953-B16B-443C-BEE4-E0B2E69A1E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808A1D-A96C-42D4-8562-FC26F2A6881A}">
  <ds:schemaRefs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purl.org/dc/dcmitype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c795e9a5-8920-4954-9141-eaafe1e2d940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1434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Dominiuk-Filipczyk Sylwia</dc:creator>
  <cp:keywords/>
  <dc:description/>
  <cp:lastModifiedBy>Ciuchta Małgorzata</cp:lastModifiedBy>
  <cp:revision>2</cp:revision>
  <dcterms:created xsi:type="dcterms:W3CDTF">2019-10-01T16:05:00Z</dcterms:created>
  <dcterms:modified xsi:type="dcterms:W3CDTF">2019-10-01T16:05:00Z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0x010100553E7ECDC3E69D44940611E92D412732</vt:lpwstr>
  </property>
</Properties>
</file>