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3C930" w14:textId="6245744C" w:rsidR="000F590F" w:rsidRDefault="000F590F" w:rsidP="000F590F">
      <w:pPr>
        <w:jc w:val="both"/>
        <w:rPr>
          <w:rFonts w:ascii="Segoe UI" w:eastAsia="Times New Roman" w:hAnsi="Segoe UI" w:cs="Segoe UI"/>
          <w:b/>
          <w:bCs/>
          <w:szCs w:val="20"/>
        </w:rPr>
      </w:pPr>
      <w:bookmarkStart w:id="0" w:name="_GoBack"/>
      <w:bookmarkEnd w:id="0"/>
      <w:r>
        <w:rPr>
          <w:rFonts w:ascii="Segoe UI" w:eastAsia="Times New Roman" w:hAnsi="Segoe UI" w:cs="Segoe UI"/>
          <w:b/>
          <w:bCs/>
          <w:szCs w:val="20"/>
        </w:rPr>
        <w:t>Biotebal duże opakowanie 90 tabletek</w:t>
      </w:r>
    </w:p>
    <w:p w14:paraId="1779FAA0" w14:textId="77777777" w:rsidR="000F590F" w:rsidRDefault="000F590F" w:rsidP="000F590F">
      <w:pPr>
        <w:jc w:val="both"/>
        <w:rPr>
          <w:rFonts w:ascii="Segoe UI" w:eastAsia="Times New Roman" w:hAnsi="Segoe UI" w:cs="Segoe UI"/>
          <w:b/>
          <w:bCs/>
          <w:sz w:val="20"/>
          <w:szCs w:val="20"/>
        </w:rPr>
      </w:pPr>
    </w:p>
    <w:p w14:paraId="3D908AD7" w14:textId="44B88827" w:rsidR="000F590F" w:rsidRDefault="000F590F" w:rsidP="000F590F">
      <w:pPr>
        <w:jc w:val="both"/>
        <w:rPr>
          <w:rFonts w:ascii="Segoe UI" w:eastAsia="Times New Roman" w:hAnsi="Segoe UI" w:cs="Segoe UI"/>
          <w:b/>
          <w:bCs/>
          <w:sz w:val="20"/>
          <w:szCs w:val="20"/>
        </w:rPr>
      </w:pPr>
      <w:r>
        <w:rPr>
          <w:rFonts w:ascii="Segoe UI" w:eastAsia="Times New Roman" w:hAnsi="Segoe UI" w:cs="Segoe UI"/>
          <w:b/>
          <w:bCs/>
          <w:sz w:val="20"/>
          <w:szCs w:val="20"/>
        </w:rPr>
        <w:t>Wypadanie włosów i osłabienie paznokci mogą być spowodowane niedoborem biotyny.</w:t>
      </w:r>
    </w:p>
    <w:p w14:paraId="2DA57A64" w14:textId="4B249E9D" w:rsidR="000F590F" w:rsidRDefault="000F590F" w:rsidP="000F590F">
      <w:pPr>
        <w:jc w:val="both"/>
        <w:rPr>
          <w:rFonts w:ascii="Segoe UI" w:eastAsia="Times New Roman" w:hAnsi="Segoe UI" w:cs="Segoe UI"/>
          <w:b/>
          <w:bCs/>
          <w:sz w:val="20"/>
          <w:szCs w:val="20"/>
        </w:rPr>
      </w:pPr>
    </w:p>
    <w:p w14:paraId="56E5BC3C" w14:textId="66B6DE30" w:rsidR="00275126" w:rsidRDefault="00275126" w:rsidP="000F590F">
      <w:pPr>
        <w:jc w:val="both"/>
        <w:rPr>
          <w:rFonts w:ascii="Segoe UI" w:eastAsia="Times New Roman" w:hAnsi="Segoe UI" w:cs="Segoe UI"/>
          <w:b/>
          <w:bCs/>
          <w:sz w:val="20"/>
          <w:szCs w:val="20"/>
        </w:rPr>
      </w:pPr>
      <w:r w:rsidRPr="00275126">
        <w:rPr>
          <w:rFonts w:ascii="Segoe UI" w:eastAsia="Times New Roman" w:hAnsi="Segoe UI" w:cs="Segoe UI"/>
          <w:b/>
          <w:bCs/>
          <w:noProof/>
          <w:sz w:val="20"/>
          <w:szCs w:val="20"/>
        </w:rPr>
        <w:drawing>
          <wp:inline distT="0" distB="0" distL="0" distR="0" wp14:anchorId="1076B2C7" wp14:editId="49FC0F1F">
            <wp:extent cx="4324350" cy="3399884"/>
            <wp:effectExtent l="0" t="0" r="0" b="0"/>
            <wp:docPr id="10" name="Obraz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3F5860-F9F7-4E7A-9DE5-630E5BF27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3F5860-F9F7-4E7A-9DE5-630E5BF27EAE}"/>
                        </a:ext>
                      </a:extLst>
                    </pic:cNvPr>
                    <pic:cNvPicPr>
                      <a:picLocks noChangeAspect="1"/>
                    </pic:cNvPicPr>
                  </pic:nvPicPr>
                  <pic:blipFill rotWithShape="1">
                    <a:blip r:embed="rId7"/>
                    <a:srcRect l="5436" t="26056" r="55619" b="19510"/>
                    <a:stretch/>
                  </pic:blipFill>
                  <pic:spPr>
                    <a:xfrm>
                      <a:off x="0" y="0"/>
                      <a:ext cx="4328125" cy="3402852"/>
                    </a:xfrm>
                    <a:prstGeom prst="rect">
                      <a:avLst/>
                    </a:prstGeom>
                  </pic:spPr>
                </pic:pic>
              </a:graphicData>
            </a:graphic>
          </wp:inline>
        </w:drawing>
      </w:r>
    </w:p>
    <w:p w14:paraId="40550819" w14:textId="77777777" w:rsidR="000F590F" w:rsidRDefault="000F590F" w:rsidP="000F590F">
      <w:pPr>
        <w:jc w:val="center"/>
        <w:rPr>
          <w:rFonts w:ascii="Segoe UI" w:eastAsia="Times New Roman" w:hAnsi="Segoe UI" w:cs="Segoe UI"/>
          <w:bCs/>
          <w:sz w:val="18"/>
          <w:szCs w:val="20"/>
        </w:rPr>
      </w:pPr>
      <w:r>
        <w:rPr>
          <w:rFonts w:ascii="Segoe UI" w:eastAsia="Times New Roman" w:hAnsi="Segoe UI" w:cs="Segoe UI"/>
          <w:bCs/>
          <w:sz w:val="18"/>
          <w:szCs w:val="20"/>
        </w:rPr>
        <w:t>[lek OTC]</w:t>
      </w:r>
    </w:p>
    <w:p w14:paraId="192482A6" w14:textId="77777777" w:rsidR="000F590F" w:rsidRDefault="000F590F" w:rsidP="000F590F">
      <w:pPr>
        <w:jc w:val="center"/>
        <w:rPr>
          <w:rFonts w:ascii="Segoe UI" w:eastAsia="Times New Roman" w:hAnsi="Segoe UI" w:cs="Segoe UI"/>
          <w:bCs/>
          <w:sz w:val="20"/>
          <w:szCs w:val="20"/>
        </w:rPr>
      </w:pPr>
    </w:p>
    <w:p w14:paraId="28B4CC6F" w14:textId="77CC0F39" w:rsidR="000F590F" w:rsidRDefault="000F590F" w:rsidP="000F590F">
      <w:pPr>
        <w:jc w:val="both"/>
        <w:rPr>
          <w:rFonts w:ascii="Segoe UI" w:eastAsia="Times New Roman" w:hAnsi="Segoe UI" w:cs="Segoe UI"/>
          <w:b/>
          <w:bCs/>
          <w:sz w:val="20"/>
          <w:szCs w:val="20"/>
        </w:rPr>
      </w:pPr>
    </w:p>
    <w:p w14:paraId="22F3DCDC" w14:textId="07D66212" w:rsidR="00DD026C" w:rsidRPr="007F4687" w:rsidRDefault="007F4687" w:rsidP="007F4687">
      <w:pPr>
        <w:jc w:val="both"/>
        <w:rPr>
          <w:rFonts w:ascii="Arial" w:eastAsia="Times New Roman" w:hAnsi="Arial" w:cs="Arial"/>
          <w:sz w:val="20"/>
          <w:szCs w:val="20"/>
        </w:rPr>
      </w:pPr>
      <w:r>
        <w:rPr>
          <w:rFonts w:ascii="Arial" w:eastAsia="Times New Roman" w:hAnsi="Arial" w:cs="Arial"/>
          <w:b/>
          <w:bCs/>
          <w:sz w:val="20"/>
          <w:szCs w:val="20"/>
        </w:rPr>
        <w:t>Biotebal</w:t>
      </w:r>
      <w:r>
        <w:rPr>
          <w:rFonts w:ascii="Arial" w:eastAsia="Times New Roman" w:hAnsi="Arial" w:cs="Arial"/>
          <w:sz w:val="20"/>
          <w:szCs w:val="20"/>
        </w:rPr>
        <w:t xml:space="preserve"> </w:t>
      </w:r>
      <w:r>
        <w:rPr>
          <w:rFonts w:ascii="Arial" w:eastAsia="Times New Roman" w:hAnsi="Arial" w:cs="Arial"/>
          <w:i/>
          <w:iCs/>
          <w:sz w:val="20"/>
          <w:szCs w:val="20"/>
        </w:rPr>
        <w:t>(Biotinum)</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Tabletki. 1 tabletka zawiera 5 mg biotyny. </w:t>
      </w:r>
      <w:r>
        <w:rPr>
          <w:rFonts w:ascii="Arial" w:eastAsia="Times New Roman" w:hAnsi="Arial" w:cs="Arial"/>
          <w:b/>
          <w:bCs/>
          <w:sz w:val="20"/>
          <w:szCs w:val="20"/>
        </w:rPr>
        <w:t>Wskazania:</w:t>
      </w:r>
      <w:r>
        <w:rPr>
          <w:rFonts w:ascii="Arial" w:eastAsia="Times New Roman" w:hAnsi="Arial" w:cs="Arial"/>
          <w:sz w:val="20"/>
          <w:szCs w:val="20"/>
        </w:rPr>
        <w:t xml:space="preserve"> Niedobór biotyny. </w:t>
      </w:r>
      <w:r>
        <w:rPr>
          <w:rFonts w:ascii="Arial" w:eastAsia="Times New Roman" w:hAnsi="Arial" w:cs="Arial"/>
          <w:b/>
          <w:bCs/>
          <w:sz w:val="20"/>
          <w:szCs w:val="20"/>
        </w:rPr>
        <w:t>Dawkowanie i sposób podawania:</w:t>
      </w:r>
      <w:r>
        <w:rPr>
          <w:rFonts w:ascii="Arial" w:eastAsia="Times New Roman" w:hAnsi="Arial" w:cs="Arial"/>
          <w:sz w:val="20"/>
          <w:szCs w:val="20"/>
        </w:rPr>
        <w:t xml:space="preserve"> Podanie doustne. Dawkowanie. Zwykle 5 mg na dobę.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substancję czynną lub na którąkolwiek substancję pomocniczą preparatu. </w:t>
      </w:r>
      <w:r>
        <w:rPr>
          <w:rFonts w:ascii="Arial" w:eastAsia="Times New Roman" w:hAnsi="Arial" w:cs="Arial"/>
          <w:b/>
          <w:bCs/>
          <w:sz w:val="20"/>
          <w:szCs w:val="20"/>
        </w:rPr>
        <w:t>Ostrzeżenia i zalecane środki ostrożności:</w:t>
      </w:r>
      <w:r>
        <w:rPr>
          <w:rFonts w:ascii="Arial" w:eastAsia="Times New Roman" w:hAnsi="Arial" w:cs="Arial"/>
          <w:sz w:val="20"/>
          <w:szCs w:val="20"/>
        </w:rPr>
        <w:t xml:space="preserve"> Produkt należy stosować regularnie. Produkt leczniczy zawiera 111,50 mg sorbitolu (E 420) w każdej tabletce. </w:t>
      </w:r>
      <w:r>
        <w:rPr>
          <w:rFonts w:ascii="Arial" w:eastAsia="Times New Roman" w:hAnsi="Arial" w:cs="Arial"/>
          <w:b/>
          <w:bCs/>
          <w:sz w:val="20"/>
          <w:szCs w:val="20"/>
        </w:rPr>
        <w:t>Działania niepożądane:</w:t>
      </w:r>
      <w:r>
        <w:rPr>
          <w:rFonts w:ascii="Arial" w:eastAsia="Times New Roman" w:hAnsi="Arial" w:cs="Arial"/>
          <w:sz w:val="20"/>
          <w:szCs w:val="20"/>
        </w:rPr>
        <w:t xml:space="preserve"> W badaniach klinicznych stwierdzono pojedyncze przypadki zaburzeń żołądkowo-jelitowych i pokrzywki. Zgłaszanie podejrzewanych działań niepożądanych. 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 Al. Jerozolimskie 181 C; 02-222 Warszawa; e-mail: ndl@urpl.gov.pl Działania niepożądane można zgłaszać również podmiotowi odpowiedzialnemu. </w:t>
      </w:r>
      <w:r>
        <w:rPr>
          <w:rFonts w:ascii="Arial" w:eastAsia="Times New Roman" w:hAnsi="Arial" w:cs="Arial"/>
          <w:b/>
          <w:bCs/>
          <w:sz w:val="20"/>
          <w:szCs w:val="20"/>
        </w:rPr>
        <w:t>Podmiot odpowiedzialny:</w:t>
      </w:r>
      <w:r>
        <w:rPr>
          <w:rFonts w:ascii="Arial" w:eastAsia="Times New Roman" w:hAnsi="Arial" w:cs="Arial"/>
          <w:sz w:val="20"/>
          <w:szCs w:val="20"/>
        </w:rPr>
        <w:t xml:space="preserve"> Polfa Warszawa S.A. Pozwolenie na dopuszczenie do obrotu nr 14438 wydane przez MZ. Dodatkowych informacji o leku udziela: Polpharma Biuro Handlowe Sp. z o.o., ul. Bobrowiecka 6, 00-728 Warszawa; tel.: +48 22 364 61 00; faks. +48 22 364 61 02. www.polpharma.pl. Lek wydawany bez recepty. ChPL: 2019.03.15. </w:t>
      </w:r>
    </w:p>
    <w:sectPr w:rsidR="00DD026C" w:rsidRPr="007F46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0F"/>
    <w:rsid w:val="000F590F"/>
    <w:rsid w:val="00275126"/>
    <w:rsid w:val="005F2588"/>
    <w:rsid w:val="007D4559"/>
    <w:rsid w:val="007F4687"/>
    <w:rsid w:val="009D1D9D"/>
    <w:rsid w:val="00A75DDB"/>
    <w:rsid w:val="00DD026C"/>
    <w:rsid w:val="00E95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6296"/>
  <w15:chartTrackingRefBased/>
  <w15:docId w15:val="{0AC23A16-9B2A-43C6-B967-9DBBE3B9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90F"/>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7512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5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22825-D7AC-4730-951F-B660F4431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85818-8B46-4C92-8165-823889B5B3E2}">
  <ds:schemaRefs>
    <ds:schemaRef ds:uri="http://schemas.microsoft.com/sharepoint/v3/contenttype/forms"/>
  </ds:schemaRefs>
</ds:datastoreItem>
</file>

<file path=customXml/itemProps3.xml><?xml version="1.0" encoding="utf-8"?>
<ds:datastoreItem xmlns:ds="http://schemas.openxmlformats.org/officeDocument/2006/customXml" ds:itemID="{171452A5-38CE-4336-A374-0AB206BE680F}">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c795e9a5-8920-4954-9141-eaafe1e2d94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1472</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Kuć Agata</dc:creator>
  <cp:keywords/>
  <dc:description/>
  <cp:lastModifiedBy>Ciuchta Małgorzata</cp:lastModifiedBy>
  <cp:revision>2</cp:revision>
  <dcterms:created xsi:type="dcterms:W3CDTF">2019-11-27T12:00:00Z</dcterms:created>
  <dcterms:modified xsi:type="dcterms:W3CDTF">2019-11-27T12:00:00Z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ies>
</file>