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77777777" w:rsidR="00886D2C" w:rsidRDefault="00886D2C" w:rsidP="00886D2C">
      <w:pPr>
        <w:jc w:val="both"/>
        <w:rPr>
          <w:rFonts w:ascii="Arial" w:eastAsia="Times New Roman" w:hAnsi="Arial" w:cs="Arial"/>
          <w:b/>
          <w:bCs/>
          <w:sz w:val="20"/>
          <w:szCs w:val="20"/>
        </w:rPr>
      </w:pPr>
      <w:bookmarkStart w:id="0" w:name="_GoBack"/>
      <w:bookmarkEnd w:id="0"/>
    </w:p>
    <w:p w14:paraId="0A61F6AB" w14:textId="77777777" w:rsidR="00886D2C" w:rsidRDefault="00886D2C" w:rsidP="00886D2C">
      <w:pPr>
        <w:jc w:val="both"/>
        <w:rPr>
          <w:rFonts w:ascii="Arial" w:eastAsia="Times New Roman" w:hAnsi="Arial" w:cs="Arial"/>
          <w:b/>
          <w:bCs/>
          <w:sz w:val="20"/>
          <w:szCs w:val="20"/>
        </w:rPr>
      </w:pPr>
    </w:p>
    <w:p w14:paraId="0A61F6AC" w14:textId="77777777" w:rsidR="00886D2C" w:rsidRDefault="00886D2C" w:rsidP="00886D2C">
      <w:pPr>
        <w:jc w:val="both"/>
        <w:rPr>
          <w:rFonts w:ascii="Arial" w:eastAsia="Times New Roman" w:hAnsi="Arial" w:cs="Arial"/>
          <w:b/>
          <w:bCs/>
          <w:sz w:val="28"/>
          <w:szCs w:val="28"/>
        </w:rPr>
      </w:pPr>
      <w:r w:rsidRPr="00886D2C">
        <w:rPr>
          <w:rFonts w:ascii="Arial" w:eastAsia="Times New Roman" w:hAnsi="Arial" w:cs="Arial"/>
          <w:b/>
          <w:bCs/>
          <w:sz w:val="28"/>
          <w:szCs w:val="28"/>
        </w:rPr>
        <w:t>SPECJALISTA OD GORĄCZKI DLA DOROSŁYCH</w:t>
      </w:r>
    </w:p>
    <w:p w14:paraId="0A61F6AD" w14:textId="77777777" w:rsidR="00886D2C" w:rsidRDefault="00886D2C" w:rsidP="00886D2C">
      <w:pPr>
        <w:jc w:val="both"/>
        <w:rPr>
          <w:rFonts w:ascii="Arial" w:eastAsia="Times New Roman" w:hAnsi="Arial" w:cs="Arial"/>
          <w:b/>
          <w:bCs/>
          <w:sz w:val="28"/>
          <w:szCs w:val="28"/>
        </w:rPr>
      </w:pPr>
      <w:r w:rsidRPr="00886D2C">
        <w:rPr>
          <w:noProof/>
        </w:rPr>
        <w:drawing>
          <wp:anchor distT="0" distB="0" distL="114300" distR="114300" simplePos="0" relativeHeight="251658240" behindDoc="0" locked="0" layoutInCell="1" allowOverlap="1" wp14:anchorId="0A61F6C4" wp14:editId="0A61F6C5">
            <wp:simplePos x="0" y="0"/>
            <wp:positionH relativeFrom="column">
              <wp:posOffset>3691255</wp:posOffset>
            </wp:positionH>
            <wp:positionV relativeFrom="paragraph">
              <wp:posOffset>137160</wp:posOffset>
            </wp:positionV>
            <wp:extent cx="1857375" cy="2195195"/>
            <wp:effectExtent l="0" t="0" r="9525" b="0"/>
            <wp:wrapNone/>
            <wp:docPr id="1" name="Obraz 1" descr="C:\Users\eniegowska\AppData\Local\Microsoft\Windows\Temporary Internet Files\Content.Outlook\1X72IOP3\pyralgina-goraczka-500mg-6saszetek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gowska\AppData\Local\Microsoft\Windows\Temporary Internet Files\Content.Outlook\1X72IOP3\pyralgina-goraczka-500mg-6saszetek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19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E" w14:textId="77777777" w:rsidR="00886D2C" w:rsidRDefault="00886D2C" w:rsidP="00886D2C">
      <w:pPr>
        <w:jc w:val="both"/>
        <w:rPr>
          <w:rFonts w:ascii="Arial" w:eastAsia="Times New Roman" w:hAnsi="Arial" w:cs="Arial"/>
          <w:b/>
          <w:bCs/>
          <w:sz w:val="28"/>
          <w:szCs w:val="28"/>
        </w:rPr>
      </w:pPr>
    </w:p>
    <w:p w14:paraId="0A61F6AF" w14:textId="77777777" w:rsidR="00886D2C" w:rsidRDefault="00886D2C" w:rsidP="00886D2C">
      <w:pPr>
        <w:jc w:val="both"/>
        <w:rPr>
          <w:rFonts w:ascii="Arial" w:eastAsia="Times New Roman" w:hAnsi="Arial" w:cs="Arial"/>
          <w:b/>
          <w:bCs/>
          <w:sz w:val="28"/>
          <w:szCs w:val="28"/>
        </w:rPr>
      </w:pPr>
    </w:p>
    <w:p w14:paraId="0A61F6B0" w14:textId="77777777" w:rsidR="00886D2C" w:rsidRPr="00886D2C" w:rsidRDefault="00886D2C" w:rsidP="00886D2C">
      <w:pPr>
        <w:jc w:val="both"/>
        <w:rPr>
          <w:rFonts w:ascii="Arial" w:eastAsia="Times New Roman" w:hAnsi="Arial" w:cs="Arial"/>
          <w:b/>
          <w:bCs/>
          <w:sz w:val="20"/>
          <w:szCs w:val="20"/>
        </w:rPr>
      </w:pPr>
    </w:p>
    <w:p w14:paraId="0A61F6B1" w14:textId="77777777" w:rsidR="00886D2C" w:rsidRDefault="00886D2C" w:rsidP="00886D2C">
      <w:pPr>
        <w:jc w:val="both"/>
        <w:rPr>
          <w:rFonts w:ascii="Arial" w:eastAsia="Times New Roman" w:hAnsi="Arial" w:cs="Arial"/>
          <w:b/>
          <w:bCs/>
          <w:sz w:val="20"/>
          <w:szCs w:val="20"/>
        </w:rPr>
      </w:pPr>
    </w:p>
    <w:p w14:paraId="0A61F6B2" w14:textId="77777777" w:rsidR="00886D2C" w:rsidRDefault="00886D2C" w:rsidP="00886D2C">
      <w:pPr>
        <w:pStyle w:val="Akapitzlist"/>
        <w:numPr>
          <w:ilvl w:val="0"/>
          <w:numId w:val="1"/>
        </w:numPr>
        <w:jc w:val="both"/>
        <w:rPr>
          <w:rFonts w:ascii="Arial" w:eastAsia="Times New Roman" w:hAnsi="Arial" w:cs="Arial"/>
          <w:bCs/>
          <w:sz w:val="20"/>
          <w:szCs w:val="20"/>
        </w:rPr>
      </w:pPr>
      <w:r w:rsidRPr="00886D2C">
        <w:rPr>
          <w:rFonts w:ascii="Arial" w:eastAsia="Times New Roman" w:hAnsi="Arial" w:cs="Arial"/>
          <w:b/>
          <w:bCs/>
          <w:sz w:val="20"/>
          <w:szCs w:val="20"/>
        </w:rPr>
        <w:t>SZYBKA</w:t>
      </w:r>
      <w:r w:rsidRPr="00886D2C">
        <w:rPr>
          <w:rFonts w:ascii="Arial" w:eastAsia="Times New Roman" w:hAnsi="Arial" w:cs="Arial"/>
          <w:bCs/>
          <w:sz w:val="20"/>
          <w:szCs w:val="20"/>
        </w:rPr>
        <w:t xml:space="preserve"> dzięki rozpuszczalnej formie</w:t>
      </w:r>
      <w:r>
        <w:rPr>
          <w:rFonts w:ascii="Arial" w:eastAsia="Times New Roman" w:hAnsi="Arial" w:cs="Arial"/>
          <w:bCs/>
          <w:sz w:val="20"/>
          <w:szCs w:val="20"/>
        </w:rPr>
        <w:t>¹</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6B5548BE" w:rsidR="00886D2C" w:rsidRDefault="00886D2C" w:rsidP="00886D2C">
      <w:pPr>
        <w:jc w:val="both"/>
        <w:rPr>
          <w:rFonts w:ascii="Arial" w:eastAsia="Times New Roman" w:hAnsi="Arial" w:cs="Arial"/>
          <w:b/>
          <w:bCs/>
          <w:sz w:val="20"/>
          <w:szCs w:val="20"/>
        </w:rPr>
      </w:pPr>
    </w:p>
    <w:p w14:paraId="41D49935" w14:textId="14066D95" w:rsidR="00E32A41" w:rsidRDefault="00E32A41" w:rsidP="00886D2C">
      <w:pPr>
        <w:jc w:val="both"/>
        <w:rPr>
          <w:rFonts w:ascii="Arial" w:eastAsia="Times New Roman" w:hAnsi="Arial" w:cs="Arial"/>
          <w:b/>
          <w:bCs/>
          <w:sz w:val="20"/>
          <w:szCs w:val="20"/>
        </w:rPr>
      </w:pPr>
    </w:p>
    <w:p w14:paraId="55A6B31C" w14:textId="77322C09" w:rsidR="00E32A41" w:rsidRDefault="00E32A41" w:rsidP="00886D2C">
      <w:pPr>
        <w:jc w:val="both"/>
        <w:rPr>
          <w:rFonts w:ascii="Arial" w:eastAsia="Times New Roman" w:hAnsi="Arial" w:cs="Arial"/>
          <w:b/>
          <w:bCs/>
          <w:sz w:val="20"/>
          <w:szCs w:val="20"/>
        </w:rPr>
      </w:pPr>
    </w:p>
    <w:p w14:paraId="5AD04091" w14:textId="77777777" w:rsidR="00E32A41" w:rsidRDefault="00E32A41"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0A61F6BC" w14:textId="400DFA81" w:rsidR="00886D2C" w:rsidRDefault="003F4C7B" w:rsidP="003F4C7B">
      <w:pPr>
        <w:jc w:val="both"/>
      </w:pPr>
      <w:r>
        <w:rPr>
          <w:rFonts w:ascii="Arial" w:eastAsia="Times New Roman" w:hAnsi="Arial" w:cs="Arial"/>
          <w:b/>
          <w:bCs/>
          <w:sz w:val="20"/>
          <w:szCs w:val="20"/>
        </w:rPr>
        <w:t>Pyralgina Gorączka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saszetka zawiera 500 mg metamizolu magnezowego w postaci metamizolu magnezowego sześciowodnego. Substancje pomocnicze o znanym działaniu: sód, żółcień pomarańczowa (E110). Jedna saszetka zawiera 4,58 mg (0,2 mmol) sodu. Granulat do sporządzania roztworu doustnego. Jednorodny granulat, koloru pomarańczowego, niezbrylony o pomarańczowym smaku. </w:t>
      </w:r>
      <w:r>
        <w:rPr>
          <w:rFonts w:ascii="Arial" w:eastAsia="Times New Roman" w:hAnsi="Arial" w:cs="Arial"/>
          <w:b/>
          <w:bCs/>
          <w:sz w:val="20"/>
          <w:szCs w:val="20"/>
        </w:rPr>
        <w:t>Wskazania:</w:t>
      </w:r>
      <w:r>
        <w:rPr>
          <w:rFonts w:ascii="Arial" w:eastAsia="Times New Roman" w:hAnsi="Arial" w:cs="Arial"/>
          <w:sz w:val="20"/>
          <w:szCs w:val="20"/>
        </w:rPr>
        <w:t xml:space="preserve"> Gorączka, gdy zastosowanie innych środków jest niewskazane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(NLZP),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Pozwolenie na dopuszczenie do obrotu nr 17182 wydane przez MZ. Dodatkowych informacji o leku udziela: Polpharma Biuro Handlowe Sp. z o.o., ul. Bobrowiecka 6, 00-728 Warszawa; tel.: +48 22 364 61 00; faks: +48 22 364 61 02; www.polpharma.pl. Lek wydawany bez recepty. ChPL: 2019.07.30.</w:t>
      </w:r>
    </w:p>
    <w:p w14:paraId="0A61F6BD" w14:textId="77777777" w:rsidR="00886D2C" w:rsidRPr="002B4640" w:rsidRDefault="00886D2C">
      <w:pPr>
        <w:rPr>
          <w:rFonts w:ascii="Arial" w:eastAsia="Times New Roman" w:hAnsi="Arial" w:cs="Arial"/>
          <w:sz w:val="20"/>
          <w:szCs w:val="20"/>
        </w:rPr>
      </w:pPr>
    </w:p>
    <w:p w14:paraId="0A61F6BE" w14:textId="77777777" w:rsidR="002B4640" w:rsidRPr="002B4640" w:rsidRDefault="002B4640" w:rsidP="002B4640">
      <w:pPr>
        <w:pStyle w:val="Akapitzlist"/>
        <w:numPr>
          <w:ilvl w:val="0"/>
          <w:numId w:val="3"/>
        </w:numPr>
        <w:spacing w:after="160" w:line="259" w:lineRule="auto"/>
        <w:rPr>
          <w:rFonts w:ascii="Arial" w:eastAsia="Times New Roman" w:hAnsi="Arial" w:cs="Arial"/>
          <w:i/>
          <w:sz w:val="16"/>
          <w:szCs w:val="16"/>
          <w:lang w:val="en-US"/>
        </w:rPr>
      </w:pPr>
      <w:r w:rsidRPr="00FD7FD3">
        <w:rPr>
          <w:rFonts w:ascii="Arial" w:eastAsia="Times New Roman" w:hAnsi="Arial" w:cs="Arial"/>
          <w:i/>
          <w:sz w:val="16"/>
          <w:szCs w:val="16"/>
          <w:lang w:val="en-US"/>
        </w:rPr>
        <w:t xml:space="preserve">Kamieński M. Keogh J., Pharmacology DeMystified. </w:t>
      </w:r>
      <w:r w:rsidRPr="002B4640">
        <w:rPr>
          <w:rFonts w:ascii="Arial" w:eastAsia="Times New Roman" w:hAnsi="Arial" w:cs="Arial"/>
          <w:i/>
          <w:sz w:val="16"/>
          <w:szCs w:val="16"/>
          <w:lang w:val="en-US"/>
        </w:rPr>
        <w:t xml:space="preserve">The McGraw-Hill Companies, Inc; 2006. </w:t>
      </w:r>
    </w:p>
    <w:p w14:paraId="0A61F6C0" w14:textId="77777777" w:rsidR="00886D2C" w:rsidRPr="00FD7FD3" w:rsidRDefault="00886D2C">
      <w:pPr>
        <w:rPr>
          <w:rFonts w:ascii="Arial" w:eastAsia="Times New Roman" w:hAnsi="Arial" w:cs="Arial"/>
          <w:i/>
          <w:color w:val="000000"/>
          <w:sz w:val="16"/>
          <w:szCs w:val="16"/>
          <w:lang w:val="en-US" w:eastAsia="en-US"/>
        </w:rPr>
      </w:pPr>
    </w:p>
    <w:p w14:paraId="0A61F6C1" w14:textId="77777777" w:rsidR="00886D2C" w:rsidRPr="002B4640" w:rsidRDefault="00886D2C">
      <w:pPr>
        <w:rPr>
          <w:lang w:val="en-US"/>
        </w:rPr>
      </w:pPr>
    </w:p>
    <w:p w14:paraId="0A61F6C2" w14:textId="77777777" w:rsidR="00886D2C" w:rsidRPr="002B4640" w:rsidRDefault="00886D2C">
      <w:pPr>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0A61F6C3" w14:textId="63DB992B" w:rsidR="00886D2C" w:rsidRPr="002B4640" w:rsidRDefault="00886D2C" w:rsidP="002B4640">
      <w:pPr>
        <w:jc w:val="right"/>
        <w:rPr>
          <w:rFonts w:ascii="Arial" w:eastAsia="Times New Roman" w:hAnsi="Arial" w:cs="Arial"/>
          <w:sz w:val="20"/>
          <w:szCs w:val="20"/>
        </w:rPr>
      </w:pPr>
    </w:p>
    <w:sectPr w:rsidR="00886D2C" w:rsidRPr="002B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2B4640"/>
    <w:rsid w:val="0038538C"/>
    <w:rsid w:val="003F4C7B"/>
    <w:rsid w:val="00886D2C"/>
    <w:rsid w:val="00E23873"/>
    <w:rsid w:val="00E32A41"/>
    <w:rsid w:val="00E6418E"/>
    <w:rsid w:val="00E7437A"/>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CBEE9-3145-4C93-BD21-D40693752E79}">
  <ds:schemaRef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c795e9a5-8920-4954-9141-eaafe1e2d9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2084</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2019-12-13T12:45:00Z</dcterms:created>
  <dcterms:modified xsi:type="dcterms:W3CDTF">2019-12-13T12:45:00Z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