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F8FA3" w14:textId="204BD560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LAR/073/05-2020</w:t>
      </w:r>
    </w:p>
    <w:p w14:paraId="184579C0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D0CD4C7" w14:textId="77777777" w:rsidR="00E22426" w:rsidRDefault="00E22426" w:rsidP="00E224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LAREMID – WYJĄTKOWO SZYBKI NA BIEGUNKĘ</w:t>
      </w:r>
    </w:p>
    <w:p w14:paraId="0555DB6E" w14:textId="77777777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F9BF973" w14:textId="77777777" w:rsidR="00034BD7" w:rsidRDefault="00034BD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57EE6D9" w14:textId="77777777" w:rsidR="00E22426" w:rsidRDefault="001D170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Jedna tabletka zawiera 2 mg chlorowodorku </w:t>
      </w:r>
      <w:proofErr w:type="spellStart"/>
      <w:r>
        <w:rPr>
          <w:rFonts w:ascii="Arial" w:eastAsia="Times New Roman" w:hAnsi="Arial" w:cs="Arial"/>
          <w:sz w:val="20"/>
          <w:szCs w:val="20"/>
        </w:rPr>
        <w:t>loperamidu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Substancja pomocnicza o znanym działaniu: laktoza jednowodna 100 mg.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jest wskazany w objawowym leczeniu ostrej i przewlekłej biegunki. U pacjentów z wytworzoną przetoką jelita krętego </w:t>
      </w:r>
      <w:proofErr w:type="spellStart"/>
      <w:r>
        <w:rPr>
          <w:rFonts w:ascii="Arial" w:eastAsia="Times New Roman" w:hAnsi="Arial" w:cs="Arial"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może być stosowany w celu zmniejszenia liczby i objętości stolców oraz zwiększenia ich konsystencji.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 </w:t>
      </w:r>
      <w:proofErr w:type="spellStart"/>
      <w:r>
        <w:rPr>
          <w:rFonts w:ascii="Arial" w:eastAsia="Times New Roman" w:hAnsi="Arial" w:cs="Arial"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jest przeciwwskazany: u pacjentów z nadwrażliwością na </w:t>
      </w:r>
      <w:proofErr w:type="spellStart"/>
      <w:r>
        <w:rPr>
          <w:rFonts w:ascii="Arial" w:eastAsia="Times New Roman" w:hAnsi="Arial" w:cs="Arial"/>
          <w:sz w:val="20"/>
          <w:szCs w:val="20"/>
        </w:rPr>
        <w:t>loperamidu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chlorowodorek lub na którąkolwiek substancję pomocniczą; do stosowania u dzieci w wieku poniżej 6 lat; u pacjentów z ostrą czerwonką, która charakteryzuje się obecnością krwi w kale i wysoką gorączką; u pacjentów z ostrym rzutem wrzodziejącego zapalenia jelita grubego; u pacjentów z bakteryjnym zapaleniem jelita cienkiego i okrężnicy spowodowanym chorobotwórczymi bakteriami z rodzaju Salmonella, </w:t>
      </w:r>
      <w:proofErr w:type="spellStart"/>
      <w:r>
        <w:rPr>
          <w:rFonts w:ascii="Arial" w:eastAsia="Times New Roman" w:hAnsi="Arial" w:cs="Arial"/>
          <w:sz w:val="20"/>
          <w:szCs w:val="20"/>
        </w:rPr>
        <w:t>Shigella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Times New Roman" w:hAnsi="Arial" w:cs="Arial"/>
          <w:sz w:val="20"/>
          <w:szCs w:val="20"/>
        </w:rPr>
        <w:t>Campylobacter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; u pacjentów z </w:t>
      </w:r>
      <w:proofErr w:type="spellStart"/>
      <w:r>
        <w:rPr>
          <w:rFonts w:ascii="Arial" w:eastAsia="Times New Roman" w:hAnsi="Arial" w:cs="Arial"/>
          <w:sz w:val="20"/>
          <w:szCs w:val="20"/>
        </w:rPr>
        <w:t>rzekomobłoniastym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zapaleniem jelit, związanym z podawaniem antybiotyków o szerokim spektrum działania. Produktu </w:t>
      </w:r>
      <w:proofErr w:type="spellStart"/>
      <w:r>
        <w:rPr>
          <w:rFonts w:ascii="Arial" w:eastAsia="Times New Roman" w:hAnsi="Arial" w:cs="Arial"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nie należy stosować w przypadkach, w których powinno się unikać zwolnienia perystaltyki jelit, z powodu możliwego ryzyka wystąpienia ciężkich powikłań, w tym niedrożności jelit, okrężnicy olbrzymiej (</w:t>
      </w:r>
      <w:proofErr w:type="spellStart"/>
      <w:r>
        <w:rPr>
          <w:rFonts w:ascii="Arial" w:eastAsia="Times New Roman" w:hAnsi="Arial" w:cs="Arial"/>
          <w:sz w:val="20"/>
          <w:szCs w:val="20"/>
        </w:rPr>
        <w:t>megacolon</w:t>
      </w:r>
      <w:proofErr w:type="spellEnd"/>
      <w:r>
        <w:rPr>
          <w:rFonts w:ascii="Arial" w:eastAsia="Times New Roman" w:hAnsi="Arial" w:cs="Arial"/>
          <w:sz w:val="20"/>
          <w:szCs w:val="20"/>
        </w:rPr>
        <w:t>) i toksycznego rozszerzenia okrężnicy (</w:t>
      </w:r>
      <w:proofErr w:type="spellStart"/>
      <w:r>
        <w:rPr>
          <w:rFonts w:ascii="Arial" w:eastAsia="Times New Roman" w:hAnsi="Arial" w:cs="Arial"/>
          <w:sz w:val="20"/>
          <w:szCs w:val="20"/>
        </w:rPr>
        <w:t>megacolon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toxicum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). Leczenie produktem </w:t>
      </w:r>
      <w:proofErr w:type="spellStart"/>
      <w:r>
        <w:rPr>
          <w:rFonts w:ascii="Arial" w:eastAsia="Times New Roman" w:hAnsi="Arial" w:cs="Arial"/>
          <w:sz w:val="20"/>
          <w:szCs w:val="20"/>
        </w:rPr>
        <w:t>Laremid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należy przerwać natychmiast w przypadku wystąpienia zaparcia, wzdęcia brzucha lub niedrożności jelit.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Polfa Warszawa S.A. Dodatkowych informacji o leku udziela: Polpharma Biuro Handlowe Sp. z o.o., ul. </w:t>
      </w:r>
      <w:proofErr w:type="spellStart"/>
      <w:r>
        <w:rPr>
          <w:rFonts w:ascii="Arial" w:eastAsia="Times New Roman" w:hAnsi="Arial" w:cs="Arial"/>
          <w:sz w:val="20"/>
          <w:szCs w:val="20"/>
        </w:rPr>
        <w:t>Bobrowiecka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6, 00-728 Warszawa; tel.: +48 22 364 61 00; faks: +48 22 364 61 02; www.polpharma.pl. </w:t>
      </w:r>
      <w:proofErr w:type="spellStart"/>
      <w:r>
        <w:rPr>
          <w:rFonts w:ascii="Arial" w:eastAsia="Times New Roman" w:hAnsi="Arial" w:cs="Arial"/>
          <w:sz w:val="20"/>
          <w:szCs w:val="20"/>
        </w:rPr>
        <w:t>ChPL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2019.05.06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p w14:paraId="5F45E854" w14:textId="7730F371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B46CCF2" wp14:editId="16EC35F5">
            <wp:extent cx="266700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1875" r="5937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A1C65" wp14:editId="74D3AA16">
            <wp:extent cx="2790825" cy="1323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t="21875" r="5313" b="2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5B54" w14:textId="77777777" w:rsidR="00E22426" w:rsidRDefault="00E22426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F06CFD1" w14:textId="17EED4FB" w:rsidR="001D1703" w:rsidRDefault="001D1703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1D1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5"/>
    <w:rsid w:val="00034BD7"/>
    <w:rsid w:val="001D1703"/>
    <w:rsid w:val="00204445"/>
    <w:rsid w:val="00310F27"/>
    <w:rsid w:val="0056102B"/>
    <w:rsid w:val="00E2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5922"/>
  <w15:chartTrackingRefBased/>
  <w15:docId w15:val="{5D9C3225-209C-4E15-B79A-A4DEA965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A2B1C-DE2B-4B5D-AE64-F5406A573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A3CF3-4388-4C9B-89E2-7DB71372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2D9A9-44B5-45A7-BB1E-0E3D3D0F1296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Ciuchta Małgorzata</dc:creator>
  <cp:keywords/>
  <dc:description/>
  <cp:lastModifiedBy>Ciuchta Małgorzata</cp:lastModifiedBy>
  <cp:revision>2</cp:revision>
  <dcterms:created xsi:type="dcterms:W3CDTF">2020-05-14T11:45:00Z</dcterms:created>
  <dcterms:modified xsi:type="dcterms:W3CDTF">2020-05-14T11:45:00Z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