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D7DE4AB" w:rsidR="00886D2C" w:rsidRDefault="00BD6A2D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6E7C8" wp14:editId="7D9156C9">
            <wp:simplePos x="0" y="0"/>
            <wp:positionH relativeFrom="margin">
              <wp:align>right</wp:align>
            </wp:positionH>
            <wp:positionV relativeFrom="paragraph">
              <wp:posOffset>119548</wp:posOffset>
            </wp:positionV>
            <wp:extent cx="3277870" cy="24237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6E9D391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53D710BE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529CD75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5594E231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1068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591DDB2" w14:textId="77777777" w:rsidR="00B20572" w:rsidRPr="00C56724" w:rsidRDefault="00B20572" w:rsidP="00EF2A4C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tabletka zawiera 500 mg metamizolu sodowego jednowodnego. Substancja pomocnicza o znanym działaniu: sód. 1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metamizol, inne pochodne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np. produkty lecznicze zawierające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(szczególnie u pacjentów, u których po zastosowaniu któregoś z tych leków wystąpiła agranulocytoza) lub na którąkolwiek substancję pomocniczą leku. Pacjenci z rozpoznanym zespołem astmy analgetycznej lub znaną nietolerancją na leki przeciwbólowe objawiające się pokrzywką, obrzękiem naczynioworuchowym, tj. pacjenci, którzy reagują skurczem oskrzeli lub inną reakcją </w:t>
      </w:r>
      <w:proofErr w:type="spellStart"/>
      <w:r>
        <w:rPr>
          <w:rFonts w:ascii="Arial" w:eastAsia="Times New Roman" w:hAnsi="Arial" w:cs="Arial"/>
          <w:sz w:val="20"/>
          <w:szCs w:val="20"/>
        </w:rPr>
        <w:t>anafilaktoidalną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salicylany, paracetamol lub inne nieopioidowe leki przeciwbólowe, w tym niesteroidowe leki przeciwzapalne (NLPZ), takie jak: </w:t>
      </w:r>
      <w:proofErr w:type="spellStart"/>
      <w:r>
        <w:rPr>
          <w:rFonts w:ascii="Arial" w:eastAsia="Times New Roman" w:hAnsi="Arial" w:cs="Arial"/>
          <w:sz w:val="20"/>
          <w:szCs w:val="20"/>
        </w:rPr>
        <w:t>diklofenak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indometacyna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naproksen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Zaburzenia czynności szpiku kostnego (np. po leczeniu cytostatykami) oraz zmiany w obrazie morfologicznym krwi (agranulocytoza, leukopenia, niedokrwistość). Ostra niewydolność nerek lub wątroby, ostra porfiria wątrobowa. Wrodzony niedobór dehydrogenazy glukozo-6-fosforanowej. Stosowanie leków z grupy pochodnych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Trzeci trymestr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2020.04.23.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0A61F6BC" w14:textId="623FCEEC" w:rsidR="00886D2C" w:rsidRPr="00B25BA7" w:rsidRDefault="002404D8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0A61F6C1" w14:textId="312A144E" w:rsidR="00886D2C" w:rsidRPr="00BD6A2D" w:rsidRDefault="003821A2" w:rsidP="00BD6A2D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EF2A4C">
        <w:rPr>
          <w:rFonts w:ascii="Arial" w:eastAsia="Times New Roman" w:hAnsi="Arial" w:cs="Arial"/>
          <w:sz w:val="16"/>
          <w:szCs w:val="16"/>
          <w:lang w:val="en-US"/>
        </w:rPr>
        <w:t>07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/20</w:t>
      </w:r>
      <w:r w:rsidR="00EF2A4C">
        <w:rPr>
          <w:rFonts w:ascii="Arial" w:eastAsia="Times New Roman" w:hAnsi="Arial" w:cs="Arial"/>
          <w:sz w:val="16"/>
          <w:szCs w:val="16"/>
          <w:lang w:val="en-US"/>
        </w:rPr>
        <w:t>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 w:rsidR="00EF2A4C">
        <w:rPr>
          <w:rFonts w:ascii="Arial" w:eastAsia="Times New Roman" w:hAnsi="Arial" w:cs="Arial"/>
          <w:sz w:val="16"/>
          <w:szCs w:val="16"/>
          <w:lang w:val="en-US"/>
        </w:rPr>
        <w:t>07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/20</w:t>
      </w:r>
      <w:r w:rsidR="00EF2A4C">
        <w:rPr>
          <w:rFonts w:ascii="Arial" w:eastAsia="Times New Roman" w:hAnsi="Arial" w:cs="Arial"/>
          <w:sz w:val="16"/>
          <w:szCs w:val="16"/>
          <w:lang w:val="en-US"/>
        </w:rPr>
        <w:t>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2020 IQVIA and its affiliates;</w:t>
      </w:r>
    </w:p>
    <w:p w14:paraId="343F5D9B" w14:textId="77777777" w:rsidR="00BD6A2D" w:rsidRPr="00BD6A2D" w:rsidRDefault="00BD6A2D" w:rsidP="00BD6A2D">
      <w:pPr>
        <w:pStyle w:val="Akapitzlist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0A61F6C3" w14:textId="206C27D6" w:rsidR="00886D2C" w:rsidRPr="00B25BA7" w:rsidRDefault="00886D2C" w:rsidP="00BD6A2D">
      <w:pPr>
        <w:jc w:val="both"/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040FB14" w14:textId="77777777" w:rsidR="00B25BA7" w:rsidRPr="00B25BA7" w:rsidRDefault="00B25BA7" w:rsidP="0004389F">
      <w:pPr>
        <w:rPr>
          <w:rFonts w:ascii="Arial" w:eastAsia="Times New Roman" w:hAnsi="Arial" w:cs="Arial"/>
        </w:rPr>
      </w:pPr>
    </w:p>
    <w:p w14:paraId="451A059B" w14:textId="5C354D38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OTC/PYR/3</w:t>
      </w:r>
      <w:r w:rsidR="00BD6A2D">
        <w:rPr>
          <w:rFonts w:ascii="Arial" w:eastAsia="Times New Roman" w:hAnsi="Arial" w:cs="Arial"/>
        </w:rPr>
        <w:t>84</w:t>
      </w:r>
      <w:r w:rsidRPr="00B25BA7">
        <w:rPr>
          <w:rFonts w:ascii="Arial" w:eastAsia="Times New Roman" w:hAnsi="Arial" w:cs="Arial"/>
        </w:rPr>
        <w:t>/09-20</w:t>
      </w:r>
      <w:r w:rsidR="00BD6A2D">
        <w:rPr>
          <w:rFonts w:ascii="Arial" w:eastAsia="Times New Roman" w:hAnsi="Arial" w:cs="Arial"/>
        </w:rPr>
        <w:t>20</w:t>
      </w:r>
    </w:p>
    <w:sectPr w:rsidR="00B25BA7" w:rsidRPr="00B2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2404D8"/>
    <w:rsid w:val="00290BD4"/>
    <w:rsid w:val="002B4640"/>
    <w:rsid w:val="003821A2"/>
    <w:rsid w:val="005004C5"/>
    <w:rsid w:val="00500512"/>
    <w:rsid w:val="00886D2C"/>
    <w:rsid w:val="00B20572"/>
    <w:rsid w:val="00B25BA7"/>
    <w:rsid w:val="00B66174"/>
    <w:rsid w:val="00BD6A2D"/>
    <w:rsid w:val="00CA1EDB"/>
    <w:rsid w:val="00E6418E"/>
    <w:rsid w:val="00E7437A"/>
    <w:rsid w:val="00EF2A4C"/>
    <w:rsid w:val="00F21B4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CBEE9-3145-4C93-BD21-D40693752E79}">
  <ds:schemaRefs>
    <ds:schemaRef ds:uri="http://purl.org/dc/terms/"/>
    <ds:schemaRef ds:uri="c795e9a5-8920-4954-9141-eaafe1e2d94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2020-10-16T10:40:00Z</dcterms:created>
  <dcterms:modified xsi:type="dcterms:W3CDTF">2020-10-16T10:40:00Z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