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1F6AA" w14:textId="3ABB8550" w:rsidR="00886D2C" w:rsidRDefault="00FE29F9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88211E" wp14:editId="565893BF">
            <wp:simplePos x="0" y="0"/>
            <wp:positionH relativeFrom="column">
              <wp:posOffset>2340610</wp:posOffset>
            </wp:positionH>
            <wp:positionV relativeFrom="paragraph">
              <wp:posOffset>-663575</wp:posOffset>
            </wp:positionV>
            <wp:extent cx="4434825" cy="2773680"/>
            <wp:effectExtent l="0" t="0" r="4445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25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61F6AB" w14:textId="40CAAF7F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AC" w14:textId="4C53080E" w:rsidR="00886D2C" w:rsidRPr="00FE29F9" w:rsidRDefault="002404D8" w:rsidP="00886D2C">
      <w:pPr>
        <w:jc w:val="both"/>
        <w:rPr>
          <w:rFonts w:ascii="Arial" w:eastAsia="Times New Roman" w:hAnsi="Arial" w:cs="Arial"/>
          <w:b/>
          <w:bCs/>
          <w:sz w:val="40"/>
          <w:szCs w:val="40"/>
        </w:rPr>
      </w:pPr>
      <w:r w:rsidRPr="00FE29F9">
        <w:rPr>
          <w:rFonts w:ascii="Arial" w:eastAsia="Times New Roman" w:hAnsi="Arial" w:cs="Arial"/>
          <w:b/>
          <w:bCs/>
          <w:sz w:val="40"/>
          <w:szCs w:val="40"/>
        </w:rPr>
        <w:t>Nr 1 na silny ból¹</w:t>
      </w:r>
    </w:p>
    <w:p w14:paraId="0A61F6AD" w14:textId="020A9BF5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14:paraId="0A61F6AE" w14:textId="62885778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14:paraId="0A61F6AF" w14:textId="51D45B6A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14:paraId="0A61F6B0" w14:textId="1F28E925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7F84F359" w14:textId="03D33CB8" w:rsidR="00FE29F9" w:rsidRDefault="00FE29F9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9CD2008" w14:textId="2D52ADCC" w:rsidR="00FE29F9" w:rsidRDefault="00FE29F9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7E22B3F" w14:textId="1AA1FC50" w:rsidR="00FE29F9" w:rsidRDefault="00FE29F9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359362B" w14:textId="207FF6CD" w:rsidR="00FE29F9" w:rsidRDefault="00FE29F9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682BCE84" w14:textId="77777777" w:rsidR="00FE29F9" w:rsidRPr="00886D2C" w:rsidRDefault="00FE29F9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B1" w14:textId="3F817CE6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B2" w14:textId="1AC9AF1D" w:rsidR="00886D2C" w:rsidRDefault="002404D8" w:rsidP="00886D2C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Ból o DUŻYM NASILENIU</w:t>
      </w:r>
    </w:p>
    <w:p w14:paraId="0A61F6B4" w14:textId="77777777" w:rsidR="00886D2C" w:rsidRPr="00886D2C" w:rsidRDefault="00886D2C" w:rsidP="00886D2C">
      <w:pPr>
        <w:pStyle w:val="Akapitzlist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0A61F6B5" w14:textId="77777777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B6" w14:textId="77777777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B8" w14:textId="77777777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B9" w14:textId="77777777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BA" w14:textId="77777777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BC" w14:textId="494E1761" w:rsidR="00886D2C" w:rsidRPr="002404D8" w:rsidRDefault="00442D98" w:rsidP="00442D98">
      <w:pPr>
        <w:jc w:val="both"/>
      </w:pPr>
      <w:r>
        <w:rPr>
          <w:rFonts w:ascii="Arial" w:eastAsia="Times New Roman" w:hAnsi="Arial" w:cs="Arial"/>
          <w:b/>
          <w:bCs/>
          <w:sz w:val="20"/>
          <w:szCs w:val="20"/>
        </w:rPr>
        <w:t>Pyralgina.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>
        <w:rPr>
          <w:rFonts w:ascii="Arial" w:eastAsia="Times New Roman" w:hAnsi="Arial" w:cs="Arial"/>
          <w:sz w:val="20"/>
          <w:szCs w:val="20"/>
        </w:rPr>
        <w:t xml:space="preserve"> 1 tabletka zawiera 500 mg metamizolu sodowego jednowodnego. Substancja pomocnicza o znanym działaniu: sód. 1 tabletka zawiera 34,5 mg (1,5 </w:t>
      </w:r>
      <w:proofErr w:type="spellStart"/>
      <w:r>
        <w:rPr>
          <w:rFonts w:ascii="Arial" w:eastAsia="Times New Roman" w:hAnsi="Arial" w:cs="Arial"/>
          <w:sz w:val="20"/>
          <w:szCs w:val="20"/>
        </w:rPr>
        <w:t>mmol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) sodu. Tabletki barwy białej lub prawie białej, podłużne, obustronnie wypukłe. </w:t>
      </w:r>
      <w:r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>
        <w:rPr>
          <w:rFonts w:ascii="Arial" w:eastAsia="Times New Roman" w:hAnsi="Arial" w:cs="Arial"/>
          <w:sz w:val="20"/>
          <w:szCs w:val="20"/>
        </w:rPr>
        <w:t xml:space="preserve"> Ból różnego pochodzenia o dużym nasileniu, gorączka, gdy zastosowanie innych środków jest przeciwwskazane lub nieskuteczne. </w:t>
      </w:r>
      <w:r>
        <w:rPr>
          <w:rFonts w:ascii="Arial" w:eastAsia="Times New Roman" w:hAnsi="Arial" w:cs="Arial"/>
          <w:b/>
          <w:bCs/>
          <w:sz w:val="20"/>
          <w:szCs w:val="20"/>
        </w:rPr>
        <w:t>Przeciwwskazania:</w:t>
      </w:r>
      <w:r>
        <w:rPr>
          <w:rFonts w:ascii="Arial" w:eastAsia="Times New Roman" w:hAnsi="Arial" w:cs="Arial"/>
          <w:sz w:val="20"/>
          <w:szCs w:val="20"/>
        </w:rPr>
        <w:t xml:space="preserve"> Nadwrażliwość na metamizol, inne pochodne </w:t>
      </w:r>
      <w:proofErr w:type="spellStart"/>
      <w:r>
        <w:rPr>
          <w:rFonts w:ascii="Arial" w:eastAsia="Times New Roman" w:hAnsi="Arial" w:cs="Arial"/>
          <w:sz w:val="20"/>
          <w:szCs w:val="20"/>
        </w:rPr>
        <w:t>pirazolonu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>
        <w:rPr>
          <w:rFonts w:ascii="Arial" w:eastAsia="Times New Roman" w:hAnsi="Arial" w:cs="Arial"/>
          <w:sz w:val="20"/>
          <w:szCs w:val="20"/>
        </w:rPr>
        <w:t>pirazolidyny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np. produkty lecznicze zawierające </w:t>
      </w:r>
      <w:proofErr w:type="spellStart"/>
      <w:r>
        <w:rPr>
          <w:rFonts w:ascii="Arial" w:eastAsia="Times New Roman" w:hAnsi="Arial" w:cs="Arial"/>
          <w:sz w:val="20"/>
          <w:szCs w:val="20"/>
        </w:rPr>
        <w:t>propyfenazon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fenazon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lub </w:t>
      </w:r>
      <w:proofErr w:type="spellStart"/>
      <w:r>
        <w:rPr>
          <w:rFonts w:ascii="Arial" w:eastAsia="Times New Roman" w:hAnsi="Arial" w:cs="Arial"/>
          <w:sz w:val="20"/>
          <w:szCs w:val="20"/>
        </w:rPr>
        <w:t>fenylobutazon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(szczególnie u pacjentów, u których po zastosowaniu któregoś z tych leków wystąpiła agranulocytoza) lub na którąkolwiek substancję pomocniczą leku. Pacjenci z rozpoznanym zespołem astmy analgetycznej lub znaną nietolerancją na leki przeciwbólowe objawiające się pokrzywką, obrzękiem naczynioworuchowym, tj. pacjenci, którzy reagują skurczem oskrzeli lub inną reakcją </w:t>
      </w:r>
      <w:proofErr w:type="spellStart"/>
      <w:r>
        <w:rPr>
          <w:rFonts w:ascii="Arial" w:eastAsia="Times New Roman" w:hAnsi="Arial" w:cs="Arial"/>
          <w:sz w:val="20"/>
          <w:szCs w:val="20"/>
        </w:rPr>
        <w:t>anafilaktoidalną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na salicylany, paracetamol lub inne nieopioidowe leki przeciwbólowe, w tym niesteroidowe leki przeciwzapalne (NLPZ), takie jak: </w:t>
      </w:r>
      <w:proofErr w:type="spellStart"/>
      <w:r>
        <w:rPr>
          <w:rFonts w:ascii="Arial" w:eastAsia="Times New Roman" w:hAnsi="Arial" w:cs="Arial"/>
          <w:sz w:val="20"/>
          <w:szCs w:val="20"/>
        </w:rPr>
        <w:t>diklofenak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ibuprofen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indometacyna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lub </w:t>
      </w:r>
      <w:proofErr w:type="spellStart"/>
      <w:r>
        <w:rPr>
          <w:rFonts w:ascii="Arial" w:eastAsia="Times New Roman" w:hAnsi="Arial" w:cs="Arial"/>
          <w:sz w:val="20"/>
          <w:szCs w:val="20"/>
        </w:rPr>
        <w:t>naproksen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Zaburzenia czynności szpiku kostnego (np. po leczeniu cytostatykami) oraz zmiany w obrazie morfologicznym krwi (agranulocytoza, leukopenia, niedokrwistość). Ostra niewydolność nerek lub wątroby, ostra porfiria wątrobowa. Wrodzony niedobór dehydrogenazy glukozo-6-fosforanowej. Stosowanie leków z grupy pochodnych </w:t>
      </w:r>
      <w:proofErr w:type="spellStart"/>
      <w:r>
        <w:rPr>
          <w:rFonts w:ascii="Arial" w:eastAsia="Times New Roman" w:hAnsi="Arial" w:cs="Arial"/>
          <w:sz w:val="20"/>
          <w:szCs w:val="20"/>
        </w:rPr>
        <w:t>pirazolonu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>
        <w:rPr>
          <w:rFonts w:ascii="Arial" w:eastAsia="Times New Roman" w:hAnsi="Arial" w:cs="Arial"/>
          <w:sz w:val="20"/>
          <w:szCs w:val="20"/>
        </w:rPr>
        <w:t>pirazolidyny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(np. </w:t>
      </w:r>
      <w:proofErr w:type="spellStart"/>
      <w:r>
        <w:rPr>
          <w:rFonts w:ascii="Arial" w:eastAsia="Times New Roman" w:hAnsi="Arial" w:cs="Arial"/>
          <w:sz w:val="20"/>
          <w:szCs w:val="20"/>
        </w:rPr>
        <w:t>fenylobutazon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propyfenazon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). Trzeci trymestr ciąży. </w:t>
      </w:r>
      <w:r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>
        <w:rPr>
          <w:rFonts w:ascii="Arial" w:eastAsia="Times New Roman" w:hAnsi="Arial" w:cs="Arial"/>
          <w:sz w:val="20"/>
          <w:szCs w:val="20"/>
        </w:rPr>
        <w:t xml:space="preserve"> Zakłady Farmaceutyczne Polpharma S.A. Dodatkowych informacji o leku udziela: Polpharma Biuro Handlowe Sp. z o.o., ul. </w:t>
      </w:r>
      <w:proofErr w:type="spellStart"/>
      <w:r>
        <w:rPr>
          <w:rFonts w:ascii="Arial" w:eastAsia="Times New Roman" w:hAnsi="Arial" w:cs="Arial"/>
          <w:sz w:val="20"/>
          <w:szCs w:val="20"/>
        </w:rPr>
        <w:t>Bobrowiecka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6, 00-728 Warszawa; tel.: +48 22 364 61 00; faks: +48 22 364 61 02; www.polpharma.pl. </w:t>
      </w:r>
      <w:proofErr w:type="spellStart"/>
      <w:r>
        <w:rPr>
          <w:rFonts w:ascii="Arial" w:eastAsia="Times New Roman" w:hAnsi="Arial" w:cs="Arial"/>
          <w:sz w:val="20"/>
          <w:szCs w:val="20"/>
        </w:rPr>
        <w:t>ChPL</w:t>
      </w:r>
      <w:proofErr w:type="spellEnd"/>
      <w:r>
        <w:rPr>
          <w:rFonts w:ascii="Arial" w:eastAsia="Times New Roman" w:hAnsi="Arial" w:cs="Arial"/>
          <w:sz w:val="20"/>
          <w:szCs w:val="20"/>
        </w:rPr>
        <w:t>: 2020.04.23.</w:t>
      </w:r>
    </w:p>
    <w:p w14:paraId="0A61F6BD" w14:textId="77777777" w:rsidR="00886D2C" w:rsidRPr="002404D8" w:rsidRDefault="00886D2C">
      <w:pPr>
        <w:rPr>
          <w:rFonts w:ascii="Arial" w:eastAsia="Times New Roman" w:hAnsi="Arial" w:cs="Arial"/>
          <w:sz w:val="20"/>
          <w:szCs w:val="20"/>
        </w:rPr>
      </w:pPr>
    </w:p>
    <w:p w14:paraId="0BBE015D" w14:textId="77777777" w:rsidR="0004505B" w:rsidRPr="0004505B" w:rsidRDefault="0004505B" w:rsidP="0004505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14:paraId="0F44D84D" w14:textId="77777777" w:rsidR="00442D98" w:rsidRPr="00ED073B" w:rsidRDefault="00442D98" w:rsidP="0004505B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i/>
          <w:iCs/>
          <w:sz w:val="16"/>
          <w:szCs w:val="16"/>
          <w:lang w:val="en-US"/>
        </w:rPr>
      </w:pPr>
      <w:r w:rsidRPr="00ED073B">
        <w:rPr>
          <w:rFonts w:eastAsiaTheme="minorHAnsi"/>
          <w:i/>
          <w:iCs/>
          <w:sz w:val="16"/>
          <w:szCs w:val="16"/>
          <w:lang w:val="en-US"/>
        </w:rPr>
        <w:t xml:space="preserve">IQVIA Poland </w:t>
      </w:r>
      <w:proofErr w:type="spellStart"/>
      <w:r w:rsidRPr="00ED073B">
        <w:rPr>
          <w:rFonts w:eastAsiaTheme="minorHAnsi"/>
          <w:i/>
          <w:iCs/>
          <w:sz w:val="16"/>
          <w:szCs w:val="16"/>
          <w:lang w:val="en-US"/>
        </w:rPr>
        <w:t>Pharmascope</w:t>
      </w:r>
      <w:proofErr w:type="spellEnd"/>
      <w:r w:rsidRPr="00ED073B">
        <w:rPr>
          <w:rFonts w:eastAsiaTheme="minorHAnsi"/>
          <w:i/>
          <w:iCs/>
          <w:sz w:val="16"/>
          <w:szCs w:val="16"/>
          <w:lang w:val="en-US"/>
        </w:rPr>
        <w:t xml:space="preserve"> 12/2019, 02A1 GENERAL PAIN RELIEF-ADULT.,MOL: METAMIZOLE SODIUM, Units, Value(PLN), MAT 11/2019 © 2020 IQVIA and its affiliates.</w:t>
      </w:r>
    </w:p>
    <w:p w14:paraId="0A61F6C1" w14:textId="77777777" w:rsidR="00886D2C" w:rsidRPr="0004505B" w:rsidRDefault="00886D2C">
      <w:pPr>
        <w:rPr>
          <w:rFonts w:ascii="Arial" w:eastAsiaTheme="minorHAnsi" w:hAnsi="Arial" w:cs="Arial"/>
          <w:i/>
          <w:iCs/>
          <w:color w:val="000000"/>
          <w:sz w:val="16"/>
          <w:szCs w:val="16"/>
          <w:lang w:eastAsia="en-US"/>
        </w:rPr>
      </w:pPr>
    </w:p>
    <w:p w14:paraId="0A61F6C3" w14:textId="739E990F" w:rsidR="00886D2C" w:rsidRDefault="00442D98" w:rsidP="00442D98">
      <w:pPr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20"/>
          <w:szCs w:val="20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  <w:r>
        <w:rPr>
          <w:rFonts w:ascii="Arial" w:eastAsia="Times New Roman" w:hAnsi="Arial" w:cs="Arial"/>
          <w:sz w:val="20"/>
          <w:szCs w:val="20"/>
        </w:rPr>
        <w:br/>
      </w:r>
    </w:p>
    <w:p w14:paraId="2662BF00" w14:textId="11F61ADE" w:rsidR="00FE29F9" w:rsidRPr="00FE29F9" w:rsidRDefault="00346336" w:rsidP="00442D98">
      <w:pPr>
        <w:rPr>
          <w:rFonts w:ascii="Arial" w:eastAsia="Times New Roman" w:hAnsi="Arial" w:cs="Arial"/>
          <w:sz w:val="32"/>
          <w:szCs w:val="32"/>
        </w:rPr>
      </w:pPr>
      <w:hyperlink r:id="rId9" w:tgtFrame="_self" w:history="1">
        <w:r w:rsidR="00FE29F9" w:rsidRPr="00FE29F9">
          <w:rPr>
            <w:rStyle w:val="Hipercze"/>
            <w:rFonts w:ascii="Segoe UI" w:hAnsi="Segoe UI" w:cs="Segoe UI"/>
            <w:sz w:val="20"/>
            <w:szCs w:val="20"/>
            <w:u w:val="none"/>
          </w:rPr>
          <w:t>OTC/PYR/375/07-2020</w:t>
        </w:r>
      </w:hyperlink>
    </w:p>
    <w:sectPr w:rsidR="00FE29F9" w:rsidRPr="00FE2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F05D3"/>
    <w:multiLevelType w:val="hybridMultilevel"/>
    <w:tmpl w:val="CEC6370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B6895"/>
    <w:multiLevelType w:val="hybridMultilevel"/>
    <w:tmpl w:val="AE7A1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D6B12"/>
    <w:multiLevelType w:val="hybridMultilevel"/>
    <w:tmpl w:val="CEC6370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43ED5"/>
    <w:multiLevelType w:val="hybridMultilevel"/>
    <w:tmpl w:val="636C8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96679"/>
    <w:multiLevelType w:val="hybridMultilevel"/>
    <w:tmpl w:val="DCAC2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930A1"/>
    <w:multiLevelType w:val="hybridMultilevel"/>
    <w:tmpl w:val="14B0E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B2A07"/>
    <w:multiLevelType w:val="hybridMultilevel"/>
    <w:tmpl w:val="DCAC2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D2C"/>
    <w:rsid w:val="0004389F"/>
    <w:rsid w:val="0004505B"/>
    <w:rsid w:val="002404D8"/>
    <w:rsid w:val="00290BD4"/>
    <w:rsid w:val="002B4640"/>
    <w:rsid w:val="00346336"/>
    <w:rsid w:val="00442D98"/>
    <w:rsid w:val="005004C5"/>
    <w:rsid w:val="007303C1"/>
    <w:rsid w:val="00886D2C"/>
    <w:rsid w:val="00B66174"/>
    <w:rsid w:val="00CA146D"/>
    <w:rsid w:val="00CA1EDB"/>
    <w:rsid w:val="00E6418E"/>
    <w:rsid w:val="00E7437A"/>
    <w:rsid w:val="00ED073B"/>
    <w:rsid w:val="00F21B41"/>
    <w:rsid w:val="00FD7FD3"/>
    <w:rsid w:val="00FE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1F6AA"/>
  <w15:chartTrackingRefBased/>
  <w15:docId w15:val="{A71B547E-5B0F-42C3-AA33-93C52002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D2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D2C"/>
    <w:pPr>
      <w:ind w:left="720"/>
      <w:contextualSpacing/>
    </w:pPr>
  </w:style>
  <w:style w:type="paragraph" w:customStyle="1" w:styleId="Default">
    <w:name w:val="Default"/>
    <w:rsid w:val="002B46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E29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pps.polpharma.net/sites/EML/_layouts/15/listform.aspx?PageType=4&amp;ListId=%7B21C33C92%2DD749%2D46A0%2D93FB%2DB2A30387A75F%7D&amp;ID=27568&amp;ContentTypeID=0x0100DE8F748292EE407586982F8B991A8F6E00E035F266783152419E1BCE6CADF706A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E3C346-87BF-46A7-8099-AD87B28CBB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F53708-4D6B-4C07-B3BD-70F5633EC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ECBEE9-3145-4C93-BD21-D40693752E79}">
  <ds:schemaRefs>
    <ds:schemaRef ds:uri="c795e9a5-8920-4954-9141-eaafe1e2d940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2201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Niegowska Ewa</dc:creator>
  <cp:keywords/>
  <dc:description/>
  <cp:lastModifiedBy>Ciuchta Małgorzata</cp:lastModifiedBy>
  <cp:revision>2</cp:revision>
  <dcterms:created xsi:type="dcterms:W3CDTF">2020-10-16T11:05:00Z</dcterms:created>
  <dcterms:modified xsi:type="dcterms:W3CDTF">2020-10-16T11:05:00Z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