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BD21" w14:textId="35E87228" w:rsidR="00E57AB6" w:rsidRDefault="00E57AB6">
      <w:pPr>
        <w:rPr>
          <w:sz w:val="20"/>
          <w:szCs w:val="20"/>
        </w:rPr>
      </w:pPr>
      <w:r w:rsidRPr="00E57AB6">
        <w:rPr>
          <w:sz w:val="20"/>
          <w:szCs w:val="20"/>
        </w:rPr>
        <w:t>HEV-C/053/10-2020</w:t>
      </w:r>
    </w:p>
    <w:p w14:paraId="28A1F2CC" w14:textId="77777777" w:rsidR="00C25F71" w:rsidRDefault="00C25F71">
      <w:pPr>
        <w:rPr>
          <w:noProof/>
          <w:color w:val="002060"/>
          <w:sz w:val="36"/>
          <w:szCs w:val="36"/>
        </w:rPr>
      </w:pPr>
    </w:p>
    <w:p w14:paraId="24D0B64A" w14:textId="2DC510B9" w:rsidR="00E57AB6" w:rsidRPr="00C25F71" w:rsidRDefault="00E57AB6">
      <w:pPr>
        <w:rPr>
          <w:sz w:val="24"/>
          <w:szCs w:val="24"/>
        </w:rPr>
      </w:pPr>
      <w:r w:rsidRPr="00A94E6B">
        <w:rPr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4D7541E" wp14:editId="6A5F355C">
            <wp:simplePos x="0" y="0"/>
            <wp:positionH relativeFrom="column">
              <wp:posOffset>2338070</wp:posOffset>
            </wp:positionH>
            <wp:positionV relativeFrom="paragraph">
              <wp:posOffset>406400</wp:posOffset>
            </wp:positionV>
            <wp:extent cx="3228975" cy="2151653"/>
            <wp:effectExtent l="0" t="0" r="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E6B">
        <w:rPr>
          <w:b/>
          <w:bCs/>
          <w:color w:val="002060"/>
          <w:sz w:val="32"/>
          <w:szCs w:val="32"/>
        </w:rPr>
        <w:t xml:space="preserve">Heviran </w:t>
      </w:r>
      <w:r w:rsidRPr="00A94E6B">
        <w:rPr>
          <w:b/>
          <w:bCs/>
          <w:color w:val="7030A0"/>
          <w:sz w:val="32"/>
          <w:szCs w:val="32"/>
        </w:rPr>
        <w:t>Comfort</w:t>
      </w:r>
      <w:r w:rsidRPr="00A94E6B">
        <w:rPr>
          <w:color w:val="7030A0"/>
          <w:sz w:val="32"/>
          <w:szCs w:val="32"/>
        </w:rPr>
        <w:t xml:space="preserve"> </w:t>
      </w:r>
      <w:r w:rsidR="00C25F71">
        <w:rPr>
          <w:color w:val="002060"/>
          <w:sz w:val="32"/>
          <w:szCs w:val="32"/>
        </w:rPr>
        <w:t xml:space="preserve">to </w:t>
      </w:r>
      <w:r w:rsidR="00C25F71" w:rsidRPr="00C25F71">
        <w:rPr>
          <w:b/>
          <w:bCs/>
          <w:color w:val="002060"/>
          <w:sz w:val="32"/>
          <w:szCs w:val="32"/>
        </w:rPr>
        <w:t xml:space="preserve">lek </w:t>
      </w:r>
      <w:r w:rsidR="00C25F71" w:rsidRPr="00A94E6B">
        <w:rPr>
          <w:b/>
          <w:bCs/>
          <w:color w:val="7030A0"/>
          <w:sz w:val="32"/>
          <w:szCs w:val="32"/>
        </w:rPr>
        <w:t xml:space="preserve">nr 1 </w:t>
      </w:r>
      <w:r w:rsidR="00C25F71" w:rsidRPr="00C25F71">
        <w:rPr>
          <w:b/>
          <w:bCs/>
          <w:color w:val="002060"/>
          <w:sz w:val="32"/>
          <w:szCs w:val="32"/>
        </w:rPr>
        <w:t>na opryszczkę</w:t>
      </w:r>
      <w:r w:rsidR="00C25F71" w:rsidRPr="00C25F71">
        <w:rPr>
          <w:color w:val="002060"/>
          <w:sz w:val="32"/>
          <w:szCs w:val="32"/>
          <w:vertAlign w:val="superscript"/>
        </w:rPr>
        <w:t>1</w:t>
      </w:r>
      <w:r w:rsidR="00C25F71">
        <w:rPr>
          <w:color w:val="002060"/>
          <w:sz w:val="32"/>
          <w:szCs w:val="32"/>
        </w:rPr>
        <w:t xml:space="preserve"> - </w:t>
      </w:r>
      <w:r w:rsidRPr="00C25F71">
        <w:rPr>
          <w:b/>
          <w:bCs/>
          <w:color w:val="002060"/>
          <w:sz w:val="32"/>
          <w:szCs w:val="32"/>
        </w:rPr>
        <w:t>zwalcza wirusa</w:t>
      </w:r>
      <w:r w:rsidR="00C25F71" w:rsidRPr="00C25F71">
        <w:rPr>
          <w:color w:val="002060"/>
          <w:sz w:val="32"/>
          <w:szCs w:val="32"/>
        </w:rPr>
        <w:t xml:space="preserve"> </w:t>
      </w:r>
      <w:r w:rsidRPr="00C25F71">
        <w:rPr>
          <w:color w:val="002060"/>
          <w:sz w:val="32"/>
          <w:szCs w:val="32"/>
        </w:rPr>
        <w:t xml:space="preserve">już </w:t>
      </w:r>
      <w:r w:rsidRPr="00C25F71">
        <w:rPr>
          <w:b/>
          <w:bCs/>
          <w:color w:val="002060"/>
          <w:sz w:val="32"/>
          <w:szCs w:val="32"/>
        </w:rPr>
        <w:t xml:space="preserve">od 1. </w:t>
      </w:r>
      <w:r w:rsidR="003115A5" w:rsidRPr="00C25F71">
        <w:rPr>
          <w:b/>
          <w:bCs/>
          <w:color w:val="002060"/>
          <w:sz w:val="32"/>
          <w:szCs w:val="32"/>
        </w:rPr>
        <w:t>t</w:t>
      </w:r>
      <w:r w:rsidRPr="00C25F71">
        <w:rPr>
          <w:b/>
          <w:bCs/>
          <w:color w:val="002060"/>
          <w:sz w:val="32"/>
          <w:szCs w:val="32"/>
        </w:rPr>
        <w:t>abletki</w:t>
      </w:r>
      <w:r w:rsidRPr="00C25F71">
        <w:rPr>
          <w:color w:val="002060"/>
          <w:sz w:val="32"/>
          <w:szCs w:val="32"/>
        </w:rPr>
        <w:t xml:space="preserve"> i </w:t>
      </w:r>
      <w:r w:rsidRPr="00C25F71">
        <w:rPr>
          <w:b/>
          <w:bCs/>
          <w:color w:val="002060"/>
          <w:sz w:val="32"/>
          <w:szCs w:val="32"/>
        </w:rPr>
        <w:t>przyspiesza gojenie</w:t>
      </w:r>
      <w:r w:rsidRPr="00C25F71">
        <w:rPr>
          <w:color w:val="002060"/>
          <w:sz w:val="32"/>
          <w:szCs w:val="32"/>
        </w:rPr>
        <w:t xml:space="preserve"> nawet o 3 dni</w:t>
      </w:r>
      <w:r w:rsidR="00C25F71">
        <w:rPr>
          <w:color w:val="002060"/>
          <w:sz w:val="32"/>
          <w:szCs w:val="32"/>
          <w:vertAlign w:val="superscript"/>
        </w:rPr>
        <w:t>2</w:t>
      </w:r>
      <w:r w:rsidRPr="00C25F71">
        <w:rPr>
          <w:color w:val="002060"/>
          <w:sz w:val="32"/>
          <w:szCs w:val="32"/>
        </w:rPr>
        <w:t>.</w:t>
      </w:r>
      <w:r w:rsidR="00C25F71" w:rsidRPr="00C25F71">
        <w:rPr>
          <w:color w:val="002060"/>
          <w:sz w:val="32"/>
          <w:szCs w:val="32"/>
        </w:rPr>
        <w:t xml:space="preserve"> </w:t>
      </w:r>
    </w:p>
    <w:p w14:paraId="051B7BA1" w14:textId="77777777" w:rsidR="003115A5" w:rsidRPr="00E57AB6" w:rsidRDefault="003115A5"/>
    <w:p w14:paraId="67533289" w14:textId="11CE6CF7" w:rsidR="00E57AB6" w:rsidRPr="00E57AB6" w:rsidRDefault="00E57AB6" w:rsidP="00E57AB6">
      <w:pPr>
        <w:spacing w:after="0"/>
        <w:rPr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  </w:t>
      </w:r>
      <w:r w:rsidRPr="00E57AB6">
        <w:rPr>
          <w:b/>
          <w:bCs/>
          <w:color w:val="2F5496" w:themeColor="accent1" w:themeShade="BF"/>
          <w:sz w:val="56"/>
          <w:szCs w:val="56"/>
        </w:rPr>
        <w:t>SILNIEJSZY</w:t>
      </w:r>
    </w:p>
    <w:p w14:paraId="1365984C" w14:textId="68205A7B" w:rsidR="00E57AB6" w:rsidRPr="00E57AB6" w:rsidRDefault="00E57AB6" w:rsidP="00E57AB6">
      <w:pPr>
        <w:spacing w:after="0"/>
        <w:rPr>
          <w:color w:val="2F5496" w:themeColor="accent1" w:themeShade="BF"/>
          <w:sz w:val="48"/>
          <w:szCs w:val="48"/>
        </w:rPr>
      </w:pPr>
      <w:r w:rsidRPr="00E57AB6">
        <w:rPr>
          <w:color w:val="2F5496" w:themeColor="accent1" w:themeShade="BF"/>
          <w:sz w:val="36"/>
          <w:szCs w:val="36"/>
        </w:rPr>
        <w:t xml:space="preserve">       </w:t>
      </w:r>
      <w:r>
        <w:rPr>
          <w:color w:val="2F5496" w:themeColor="accent1" w:themeShade="BF"/>
          <w:sz w:val="36"/>
          <w:szCs w:val="36"/>
        </w:rPr>
        <w:t xml:space="preserve">      </w:t>
      </w:r>
      <w:r w:rsidRPr="00E57AB6">
        <w:rPr>
          <w:color w:val="2F5496" w:themeColor="accent1" w:themeShade="BF"/>
          <w:sz w:val="36"/>
          <w:szCs w:val="36"/>
        </w:rPr>
        <w:t xml:space="preserve">     OD</w:t>
      </w:r>
      <w:r w:rsidRPr="00E57AB6">
        <w:t xml:space="preserve"> </w:t>
      </w:r>
    </w:p>
    <w:p w14:paraId="105910AD" w14:textId="5D375861" w:rsidR="00E57AB6" w:rsidRPr="00E57AB6" w:rsidRDefault="00E57AB6" w:rsidP="00E57AB6">
      <w:pPr>
        <w:spacing w:after="0"/>
        <w:rPr>
          <w:sz w:val="56"/>
          <w:szCs w:val="56"/>
        </w:rPr>
      </w:pPr>
      <w:r>
        <w:rPr>
          <w:b/>
          <w:bCs/>
          <w:color w:val="7030A0"/>
          <w:sz w:val="48"/>
          <w:szCs w:val="48"/>
        </w:rPr>
        <w:t xml:space="preserve">     </w:t>
      </w:r>
      <w:r w:rsidRPr="00C25F71">
        <w:rPr>
          <w:b/>
          <w:bCs/>
          <w:color w:val="7030A0"/>
          <w:sz w:val="52"/>
          <w:szCs w:val="52"/>
        </w:rPr>
        <w:t>OPRYSZCZKI</w:t>
      </w:r>
    </w:p>
    <w:p w14:paraId="53908DF0" w14:textId="6BA20454" w:rsidR="00E57AB6" w:rsidRPr="00E57AB6" w:rsidRDefault="00E57AB6"/>
    <w:p w14:paraId="418D0A0B" w14:textId="22AE3BD7" w:rsidR="00E57AB6" w:rsidRPr="00E229F9" w:rsidRDefault="00C25F71" w:rsidP="00E229F9">
      <w:pPr>
        <w:spacing w:after="0"/>
        <w:jc w:val="both"/>
        <w:rPr>
          <w:sz w:val="16"/>
          <w:szCs w:val="16"/>
          <w:lang w:val="en-US"/>
        </w:rPr>
      </w:pPr>
      <w:r w:rsidRPr="00E229F9">
        <w:rPr>
          <w:sz w:val="16"/>
          <w:szCs w:val="16"/>
          <w:vertAlign w:val="superscript"/>
        </w:rPr>
        <w:t>1.</w:t>
      </w:r>
      <w:r w:rsidRPr="00E229F9">
        <w:rPr>
          <w:sz w:val="16"/>
          <w:szCs w:val="16"/>
        </w:rPr>
        <w:t xml:space="preserve"> Heviran Comfort jest liderem w wartości sprzedaży w kategorii leków na opryszczkę (06K1). </w:t>
      </w:r>
      <w:r w:rsidRPr="00E229F9">
        <w:rPr>
          <w:sz w:val="16"/>
          <w:szCs w:val="16"/>
          <w:lang w:val="en-US"/>
        </w:rPr>
        <w:t xml:space="preserve">IQVIA Poland Pharmascope  MAT/04/2020, Value © 2020 IQVIA and its affiliates. All rights reserved. </w:t>
      </w:r>
    </w:p>
    <w:p w14:paraId="111364FA" w14:textId="443B6DEA" w:rsidR="00C25F71" w:rsidRPr="00E229F9" w:rsidRDefault="00C25F71" w:rsidP="00E229F9">
      <w:pPr>
        <w:spacing w:after="0"/>
        <w:jc w:val="both"/>
        <w:rPr>
          <w:rFonts w:eastAsia="Times New Roman"/>
          <w:sz w:val="16"/>
          <w:szCs w:val="16"/>
        </w:rPr>
      </w:pPr>
      <w:r w:rsidRPr="00E229F9">
        <w:rPr>
          <w:sz w:val="16"/>
          <w:szCs w:val="16"/>
          <w:vertAlign w:val="superscript"/>
          <w:lang w:val="en-US"/>
        </w:rPr>
        <w:t>2.</w:t>
      </w:r>
      <w:r w:rsidRPr="00E229F9">
        <w:rPr>
          <w:sz w:val="16"/>
          <w:szCs w:val="16"/>
          <w:lang w:val="en-US"/>
        </w:rPr>
        <w:t xml:space="preserve"> </w:t>
      </w:r>
      <w:r w:rsidRPr="00E229F9">
        <w:rPr>
          <w:rFonts w:eastAsia="Times New Roman"/>
          <w:sz w:val="16"/>
          <w:szCs w:val="16"/>
          <w:lang w:val="en-US"/>
        </w:rPr>
        <w:t xml:space="preserve">Raborn GW et al. Oral acyclovir and herpes labialis: a randomized, double-blind, placebo-controlled study. </w:t>
      </w:r>
      <w:r w:rsidRPr="00E229F9">
        <w:rPr>
          <w:rFonts w:eastAsia="Times New Roman"/>
          <w:sz w:val="16"/>
          <w:szCs w:val="16"/>
        </w:rPr>
        <w:t>J Am Dent Assoc. 1987; 115 (1): 38-42.</w:t>
      </w:r>
    </w:p>
    <w:p w14:paraId="36F47D2E" w14:textId="77777777" w:rsidR="00E229F9" w:rsidRPr="00C25F71" w:rsidRDefault="00E229F9" w:rsidP="00E229F9">
      <w:pPr>
        <w:spacing w:after="0"/>
        <w:rPr>
          <w:sz w:val="20"/>
          <w:szCs w:val="20"/>
        </w:rPr>
      </w:pPr>
    </w:p>
    <w:p w14:paraId="092D78C8" w14:textId="3AE43719" w:rsidR="00912FB4" w:rsidRDefault="00E57AB6" w:rsidP="00E57AB6">
      <w:r w:rsidRPr="00E57AB6">
        <w:rPr>
          <w:rFonts w:ascii="Arial" w:eastAsia="Times New Roman" w:hAnsi="Arial" w:cs="Arial"/>
          <w:b/>
          <w:bCs/>
          <w:sz w:val="18"/>
          <w:szCs w:val="18"/>
        </w:rPr>
        <w:t>Heviran Comfort.</w:t>
      </w:r>
      <w:r w:rsidRPr="00E57AB6">
        <w:rPr>
          <w:rFonts w:ascii="Arial" w:eastAsia="Times New Roman" w:hAnsi="Arial" w:cs="Arial"/>
          <w:sz w:val="18"/>
          <w:szCs w:val="18"/>
        </w:rPr>
        <w:t xml:space="preserve"> </w:t>
      </w:r>
      <w:r w:rsidRPr="00E57AB6">
        <w:rPr>
          <w:rFonts w:ascii="Arial" w:eastAsia="Times New Roman" w:hAnsi="Arial" w:cs="Arial"/>
          <w:b/>
          <w:bCs/>
          <w:sz w:val="18"/>
          <w:szCs w:val="18"/>
        </w:rPr>
        <w:t>Skład i postać:</w:t>
      </w:r>
      <w:r w:rsidRPr="00E57AB6">
        <w:rPr>
          <w:rFonts w:ascii="Arial" w:eastAsia="Times New Roman" w:hAnsi="Arial" w:cs="Arial"/>
          <w:sz w:val="18"/>
          <w:szCs w:val="18"/>
        </w:rPr>
        <w:t xml:space="preserve"> Każda tabletka zawiera 200 mg acyklowiru. Tabletki barwy białej, okrągłe, obustronnie wypukłe. </w:t>
      </w:r>
      <w:r w:rsidRPr="00E57AB6">
        <w:rPr>
          <w:rFonts w:ascii="Arial" w:eastAsia="Times New Roman" w:hAnsi="Arial" w:cs="Arial"/>
          <w:b/>
          <w:bCs/>
          <w:sz w:val="18"/>
          <w:szCs w:val="18"/>
        </w:rPr>
        <w:t>Wskazania:</w:t>
      </w:r>
      <w:r w:rsidRPr="00E57AB6">
        <w:rPr>
          <w:rFonts w:ascii="Arial" w:eastAsia="Times New Roman" w:hAnsi="Arial" w:cs="Arial"/>
          <w:sz w:val="18"/>
          <w:szCs w:val="18"/>
        </w:rPr>
        <w:t xml:space="preserve"> Leczenie nawrotowej opryszczki warg i twarzy wywołanej przez wirus opryszczki pospolitej (Herpes simplex) u dorosłych. Produkt leczniczy może być stosowany jedynie u pacjentów, u których w przeszłości rozpoznano zakażenie wirusem opryszczki pospolitej. </w:t>
      </w:r>
      <w:r w:rsidRPr="00E57AB6">
        <w:rPr>
          <w:rFonts w:ascii="Arial" w:eastAsia="Times New Roman" w:hAnsi="Arial" w:cs="Arial"/>
          <w:b/>
          <w:bCs/>
          <w:sz w:val="18"/>
          <w:szCs w:val="18"/>
        </w:rPr>
        <w:t>Przeciwwskazania:</w:t>
      </w:r>
      <w:r w:rsidRPr="00E57AB6">
        <w:rPr>
          <w:rFonts w:ascii="Arial" w:eastAsia="Times New Roman" w:hAnsi="Arial" w:cs="Arial"/>
          <w:sz w:val="18"/>
          <w:szCs w:val="18"/>
        </w:rPr>
        <w:t xml:space="preserve"> Nadwrażliwość na substancję czynną, walacyklowir lub na którąkolwiek substancję pomocniczą. </w:t>
      </w:r>
      <w:r w:rsidRPr="00E57AB6">
        <w:rPr>
          <w:rFonts w:ascii="Arial" w:eastAsia="Times New Roman" w:hAnsi="Arial" w:cs="Arial"/>
          <w:b/>
          <w:bCs/>
          <w:sz w:val="18"/>
          <w:szCs w:val="18"/>
        </w:rPr>
        <w:t>Podmiot odpowiedzialny:</w:t>
      </w:r>
      <w:r w:rsidRPr="00E57AB6">
        <w:rPr>
          <w:rFonts w:ascii="Arial" w:eastAsia="Times New Roman" w:hAnsi="Arial" w:cs="Arial"/>
          <w:sz w:val="18"/>
          <w:szCs w:val="18"/>
        </w:rPr>
        <w:t xml:space="preserve"> Zakłady Farmaceutyczne Polpharma S.A. Dodatkowych informacji o leku udziela: Polpharma Biuro Handlowe Sp. z o.o., ul. Bobrowiecka 6, 00-728 Warszawa; tel.: +48 22 364 61 00; faks: +48 22 364 61 02; www.polpharma.pl. Lek wydawany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57AB6">
        <w:rPr>
          <w:rFonts w:ascii="Arial" w:eastAsia="Times New Roman" w:hAnsi="Arial" w:cs="Arial"/>
          <w:sz w:val="18"/>
          <w:szCs w:val="18"/>
        </w:rPr>
        <w:t xml:space="preserve">bez recepty. ChPL: 2018.05.10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noProof/>
        </w:rPr>
        <w:t xml:space="preserve"> </w:t>
      </w:r>
    </w:p>
    <w:sectPr w:rsidR="0091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B6"/>
    <w:rsid w:val="003115A5"/>
    <w:rsid w:val="003A2E4A"/>
    <w:rsid w:val="00912FB4"/>
    <w:rsid w:val="00A94E6B"/>
    <w:rsid w:val="00C25F71"/>
    <w:rsid w:val="00E229F9"/>
    <w:rsid w:val="00E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79B4"/>
  <w15:chartTrackingRefBased/>
  <w15:docId w15:val="{83207235-558A-48A4-AC12-895A98E2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4D7BA-23A9-4B51-8D5C-CFF12E054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A2998-1912-4F04-87B7-E15852304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21A6C-0E81-49F1-B456-475433DAB13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Głuchowska Patrycja</dc:creator>
  <cp:keywords/>
  <dc:description/>
  <cp:lastModifiedBy>Ciuchta Małgorzata</cp:lastModifiedBy>
  <cp:revision>2</cp:revision>
  <dcterms:created xsi:type="dcterms:W3CDTF">2020-10-21T11:21:00Z</dcterms:created>
  <dcterms:modified xsi:type="dcterms:W3CDTF">2020-10-21T11:21:00Z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