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55B8" w14:textId="734A2C4D" w:rsidR="00A46719" w:rsidRPr="00A46719" w:rsidRDefault="00A46719" w:rsidP="00A46719">
      <w:pPr>
        <w:spacing w:before="100" w:beforeAutospacing="1" w:after="100" w:afterAutospacing="1" w:line="240" w:lineRule="auto"/>
        <w:jc w:val="right"/>
        <w:outlineLvl w:val="0"/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</w:pPr>
      <w:r w:rsidRPr="00A46719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ACI/59</w:t>
      </w:r>
      <w:r w:rsidR="009E3813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7</w:t>
      </w:r>
      <w:r w:rsidRPr="00A46719">
        <w:rPr>
          <w:rFonts w:ascii="Century Gothic" w:eastAsia="Times New Roman" w:hAnsi="Century Gothic" w:cs="Times New Roman"/>
          <w:kern w:val="36"/>
          <w:sz w:val="16"/>
          <w:szCs w:val="16"/>
          <w:lang w:eastAsia="pl-PL"/>
        </w:rPr>
        <w:t>/10-2020</w:t>
      </w:r>
    </w:p>
    <w:p w14:paraId="21BE6100" w14:textId="512C4678" w:rsidR="007311DB" w:rsidRPr="007311DB" w:rsidRDefault="007311DB" w:rsidP="007311DB">
      <w:pPr>
        <w:spacing w:before="100" w:beforeAutospacing="1" w:after="100" w:afterAutospacing="1" w:line="240" w:lineRule="auto"/>
        <w:outlineLvl w:val="0"/>
        <w:rPr>
          <w:rStyle w:val="descrhead"/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</w:pPr>
      <w:proofErr w:type="spellStart"/>
      <w:r w:rsidRPr="007311DB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Acidolac</w:t>
      </w:r>
      <w:proofErr w:type="spellEnd"/>
      <w:r w:rsidRPr="007311DB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 xml:space="preserve"> Baby 1,5 g x 10 </w:t>
      </w:r>
      <w:proofErr w:type="spellStart"/>
      <w:r w:rsidRPr="007311DB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sasz</w:t>
      </w:r>
      <w:proofErr w:type="spellEnd"/>
      <w:r w:rsidRPr="007311DB">
        <w:rPr>
          <w:rFonts w:ascii="Century Gothic" w:eastAsia="Times New Roman" w:hAnsi="Century Gothic" w:cs="Times New Roman"/>
          <w:b/>
          <w:bCs/>
          <w:kern w:val="36"/>
          <w:sz w:val="24"/>
          <w:szCs w:val="24"/>
          <w:lang w:eastAsia="pl-PL"/>
        </w:rPr>
        <w:t>.</w:t>
      </w:r>
    </w:p>
    <w:p w14:paraId="1F9BF8F2" w14:textId="772FC447" w:rsidR="007311DB" w:rsidRDefault="00A46719" w:rsidP="007311DB">
      <w:pPr>
        <w:pStyle w:val="Nagwek3"/>
        <w:rPr>
          <w:rStyle w:val="descrhead"/>
          <w:rFonts w:ascii="Century Gothic" w:hAnsi="Century Gothic"/>
          <w:color w:val="auto"/>
          <w:sz w:val="20"/>
          <w:szCs w:val="20"/>
        </w:rPr>
      </w:pPr>
      <w:r>
        <w:rPr>
          <w:noProof/>
        </w:rPr>
        <w:drawing>
          <wp:inline distT="0" distB="0" distL="0" distR="0" wp14:anchorId="734BB54C" wp14:editId="6B90B264">
            <wp:extent cx="2933700" cy="22888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46" cy="230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1B61" w14:textId="77777777" w:rsidR="00272B6D" w:rsidRPr="00272B6D" w:rsidRDefault="00272B6D" w:rsidP="00272B6D"/>
    <w:p w14:paraId="41E92C4F" w14:textId="57572CA0" w:rsidR="007311DB" w:rsidRPr="007311DB" w:rsidRDefault="00C4295A" w:rsidP="00272B6D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C4295A">
        <w:rPr>
          <w:rStyle w:val="descrbody"/>
          <w:rFonts w:ascii="Century Gothic" w:hAnsi="Century Gothic"/>
          <w:sz w:val="20"/>
          <w:szCs w:val="20"/>
        </w:rPr>
        <w:t>Acidolac</w:t>
      </w:r>
      <w:proofErr w:type="spellEnd"/>
      <w:r w:rsidRPr="00C4295A">
        <w:rPr>
          <w:rStyle w:val="descrbody"/>
          <w:rFonts w:ascii="Century Gothic" w:hAnsi="Century Gothic"/>
          <w:sz w:val="20"/>
          <w:szCs w:val="20"/>
        </w:rPr>
        <w:t xml:space="preserve">® Baby suplement diety można stosować w trakcie i po antybiotykoterapii w celu uzupełnienia </w:t>
      </w:r>
      <w:proofErr w:type="spellStart"/>
      <w:r w:rsidRPr="00C4295A">
        <w:rPr>
          <w:rStyle w:val="descrbody"/>
          <w:rFonts w:ascii="Century Gothic" w:hAnsi="Century Gothic"/>
          <w:sz w:val="20"/>
          <w:szCs w:val="20"/>
        </w:rPr>
        <w:t>mikrobioty</w:t>
      </w:r>
      <w:proofErr w:type="spellEnd"/>
      <w:r w:rsidRPr="00C4295A">
        <w:rPr>
          <w:rStyle w:val="descrbody"/>
          <w:rFonts w:ascii="Century Gothic" w:hAnsi="Century Gothic"/>
          <w:sz w:val="20"/>
          <w:szCs w:val="20"/>
        </w:rPr>
        <w:t xml:space="preserve"> jelitowej (flory bakteryjnej jelit). Można stosować także w podróży ze zmianą strefy klimatycznej, kiedy w przewodzie pokarmowym dochodzi do zmian w składzie mikroflory.</w:t>
      </w:r>
    </w:p>
    <w:p w14:paraId="2955A4E6" w14:textId="77777777" w:rsidR="007311DB" w:rsidRPr="007311DB" w:rsidRDefault="007311DB" w:rsidP="00272B6D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7311DB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55A3C8FF" w14:textId="3D7F545D" w:rsidR="007311DB" w:rsidRPr="007311DB" w:rsidRDefault="007311DB" w:rsidP="00C4295A">
      <w:pPr>
        <w:jc w:val="both"/>
        <w:rPr>
          <w:rFonts w:ascii="Century Gothic" w:hAnsi="Century Gothic"/>
          <w:sz w:val="20"/>
          <w:szCs w:val="20"/>
        </w:rPr>
      </w:pPr>
      <w:r w:rsidRPr="007311DB">
        <w:rPr>
          <w:rStyle w:val="descrbody"/>
          <w:rFonts w:ascii="Century Gothic" w:hAnsi="Century Gothic"/>
          <w:sz w:val="20"/>
          <w:szCs w:val="20"/>
        </w:rPr>
        <w:t xml:space="preserve">Niemowlęta i dzieci: 1-2 saszetki/dobę. </w:t>
      </w:r>
      <w:r w:rsidR="00C4295A" w:rsidRPr="00C4295A">
        <w:rPr>
          <w:rStyle w:val="descrbody"/>
          <w:rFonts w:ascii="Century Gothic" w:hAnsi="Century Gothic"/>
          <w:sz w:val="20"/>
          <w:szCs w:val="20"/>
        </w:rPr>
        <w:t>Zawartość saszetki podawać bezpośrednio do jamy ustnej lub po uprzednim rozpuszczeniu w płynie o temperaturze maksymalnie 37</w:t>
      </w:r>
      <w:r w:rsidR="00C4295A" w:rsidRPr="00124E2D">
        <w:sym w:font="Symbol" w:char="F0B0"/>
      </w:r>
      <w:r w:rsidR="00C4295A" w:rsidRPr="00C4295A">
        <w:rPr>
          <w:rStyle w:val="descrbody"/>
          <w:rFonts w:ascii="Century Gothic" w:hAnsi="Century Gothic"/>
          <w:sz w:val="20"/>
          <w:szCs w:val="20"/>
        </w:rPr>
        <w:t>C. W przypadku dzieci karmionych piersią zawartość saszetki można rozpuścić w ściągniętym mleku matki.</w:t>
      </w:r>
      <w:r w:rsidR="00C4295A">
        <w:rPr>
          <w:rStyle w:val="descrbody"/>
          <w:rFonts w:ascii="Century Gothic" w:hAnsi="Century Gothic"/>
          <w:sz w:val="20"/>
          <w:szCs w:val="20"/>
        </w:rPr>
        <w:t xml:space="preserve"> </w:t>
      </w:r>
      <w:r w:rsidR="00C4295A" w:rsidRPr="00C4295A">
        <w:rPr>
          <w:rStyle w:val="descrbody"/>
          <w:rFonts w:ascii="Century Gothic" w:hAnsi="Century Gothic"/>
          <w:sz w:val="20"/>
          <w:szCs w:val="20"/>
        </w:rPr>
        <w:t>Preparat należy spożyć bezpośrednio po przygotowaniu.</w:t>
      </w:r>
    </w:p>
    <w:p w14:paraId="0762B662" w14:textId="77777777" w:rsidR="007311DB" w:rsidRPr="007311DB" w:rsidRDefault="007311DB" w:rsidP="00272B6D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7311DB">
        <w:rPr>
          <w:rStyle w:val="descrhead"/>
          <w:rFonts w:ascii="Century Gothic" w:hAnsi="Century Gothic"/>
          <w:color w:val="auto"/>
          <w:sz w:val="20"/>
          <w:szCs w:val="20"/>
        </w:rPr>
        <w:t>Uwagi:</w:t>
      </w:r>
    </w:p>
    <w:p w14:paraId="74937925" w14:textId="77777777" w:rsidR="00C4295A" w:rsidRDefault="00C4295A" w:rsidP="00272B6D">
      <w:pPr>
        <w:pStyle w:val="Nagwek3"/>
        <w:jc w:val="both"/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</w:pPr>
      <w:r w:rsidRPr="00C4295A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>Produkt nie zawiera białka mleka krowiego i laktozy i może być podawany osobom, które nie tolerują tych składników.</w:t>
      </w:r>
    </w:p>
    <w:p w14:paraId="5C533D59" w14:textId="77777777" w:rsidR="00C4295A" w:rsidRDefault="00C4295A" w:rsidP="00272B6D">
      <w:pPr>
        <w:pStyle w:val="Nagwek3"/>
        <w:jc w:val="both"/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</w:pPr>
    </w:p>
    <w:p w14:paraId="79DBE1B9" w14:textId="589B63DF" w:rsidR="007311DB" w:rsidRPr="007311DB" w:rsidRDefault="007311DB" w:rsidP="00272B6D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7311DB">
        <w:rPr>
          <w:rStyle w:val="descrhead"/>
          <w:rFonts w:ascii="Century Gothic" w:hAnsi="Century Gothic"/>
          <w:color w:val="auto"/>
          <w:sz w:val="20"/>
          <w:szCs w:val="20"/>
        </w:rPr>
        <w:t>Działanie:</w:t>
      </w:r>
    </w:p>
    <w:p w14:paraId="1121C2B9" w14:textId="77777777" w:rsidR="00C4295A" w:rsidRDefault="00C4295A" w:rsidP="00272B6D">
      <w:pPr>
        <w:pStyle w:val="Nagwek3"/>
        <w:jc w:val="both"/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</w:pPr>
      <w:proofErr w:type="spellStart"/>
      <w:r w:rsidRPr="00C4295A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>Acidolac</w:t>
      </w:r>
      <w:proofErr w:type="spellEnd"/>
      <w:r w:rsidRPr="00C4295A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 xml:space="preserve">® Baby suplement diety to preparat łączący w składzie szczep bakterii kwasu mlekowego </w:t>
      </w:r>
      <w:proofErr w:type="spellStart"/>
      <w:r w:rsidRPr="00C4295A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>Bifidobacterium</w:t>
      </w:r>
      <w:proofErr w:type="spellEnd"/>
      <w:r w:rsidRPr="00C4295A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 xml:space="preserve"> BB-12® i </w:t>
      </w:r>
      <w:proofErr w:type="spellStart"/>
      <w:r w:rsidRPr="00C4295A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>fruktooligosacharydy</w:t>
      </w:r>
      <w:proofErr w:type="spellEnd"/>
      <w:r w:rsidRPr="00C4295A">
        <w:rPr>
          <w:rStyle w:val="descrbody"/>
          <w:rFonts w:ascii="Century Gothic" w:eastAsiaTheme="minorHAnsi" w:hAnsi="Century Gothic" w:cstheme="minorBidi"/>
          <w:color w:val="auto"/>
          <w:sz w:val="20"/>
          <w:szCs w:val="20"/>
        </w:rPr>
        <w:t xml:space="preserve"> (FOS). Połączenie tych składników ułatwia zasiedlanie jelit przez bakterie kwasu mlekowego i wydłuża czas ich przeżycia.</w:t>
      </w:r>
    </w:p>
    <w:p w14:paraId="62D151E9" w14:textId="2E5BC1AD" w:rsidR="007311DB" w:rsidRPr="007311DB" w:rsidRDefault="007311DB" w:rsidP="00272B6D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7311DB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5610A081" w14:textId="7F9DE731" w:rsidR="00967702" w:rsidRDefault="00A46719" w:rsidP="00272B6D">
      <w:pPr>
        <w:jc w:val="both"/>
        <w:rPr>
          <w:rStyle w:val="descrbody"/>
          <w:rFonts w:ascii="Century Gothic" w:hAnsi="Century Gothic"/>
          <w:sz w:val="20"/>
          <w:szCs w:val="20"/>
        </w:rPr>
      </w:pPr>
      <w:r>
        <w:rPr>
          <w:rStyle w:val="descrbody"/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ABFB5A" wp14:editId="391AEF4F">
            <wp:simplePos x="0" y="0"/>
            <wp:positionH relativeFrom="column">
              <wp:posOffset>4129405</wp:posOffset>
            </wp:positionH>
            <wp:positionV relativeFrom="paragraph">
              <wp:posOffset>1335405</wp:posOffset>
            </wp:positionV>
            <wp:extent cx="15811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40" y="20400"/>
                <wp:lineTo x="2134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11DB" w:rsidRPr="007311DB">
        <w:rPr>
          <w:rStyle w:val="descrbody"/>
          <w:rFonts w:ascii="Century Gothic" w:hAnsi="Century Gothic"/>
          <w:sz w:val="20"/>
          <w:szCs w:val="20"/>
        </w:rPr>
        <w:t>1 saszetka zawiera 4 mld (4x10</w:t>
      </w:r>
      <w:r w:rsidR="007311DB" w:rsidRPr="007311DB">
        <w:rPr>
          <w:rStyle w:val="descrbody"/>
          <w:rFonts w:ascii="Century Gothic" w:hAnsi="Century Gothic"/>
          <w:sz w:val="20"/>
          <w:szCs w:val="20"/>
          <w:vertAlign w:val="superscript"/>
        </w:rPr>
        <w:t>9</w:t>
      </w:r>
      <w:r w:rsidR="007311DB" w:rsidRPr="007311DB">
        <w:rPr>
          <w:rStyle w:val="descrbody"/>
          <w:rFonts w:ascii="Century Gothic" w:hAnsi="Century Gothic"/>
          <w:sz w:val="20"/>
          <w:szCs w:val="20"/>
        </w:rPr>
        <w:t xml:space="preserve"> CFU) liofilizowanego szczepu bakterii </w:t>
      </w:r>
      <w:proofErr w:type="spellStart"/>
      <w:r w:rsidR="007311DB" w:rsidRPr="007311DB">
        <w:rPr>
          <w:rStyle w:val="descrbody"/>
          <w:rFonts w:ascii="Century Gothic" w:hAnsi="Century Gothic"/>
          <w:i/>
          <w:iCs/>
          <w:sz w:val="20"/>
          <w:szCs w:val="20"/>
        </w:rPr>
        <w:t>Bifidobacterium</w:t>
      </w:r>
      <w:proofErr w:type="spellEnd"/>
      <w:r w:rsidR="007311DB" w:rsidRPr="007311DB">
        <w:rPr>
          <w:rStyle w:val="descrbody"/>
          <w:rFonts w:ascii="Century Gothic" w:hAnsi="Century Gothic"/>
          <w:i/>
          <w:iCs/>
          <w:sz w:val="20"/>
          <w:szCs w:val="20"/>
        </w:rPr>
        <w:t xml:space="preserve"> BB-12</w:t>
      </w:r>
      <w:r w:rsidR="007311DB" w:rsidRPr="007311DB">
        <w:rPr>
          <w:rStyle w:val="descrbody"/>
          <w:rFonts w:ascii="Century Gothic" w:hAnsi="Century Gothic"/>
          <w:sz w:val="20"/>
          <w:szCs w:val="20"/>
          <w:vertAlign w:val="superscript"/>
        </w:rPr>
        <w:t>®</w:t>
      </w:r>
      <w:r w:rsidR="007311DB" w:rsidRPr="007311DB">
        <w:rPr>
          <w:rStyle w:val="descrbody"/>
          <w:rFonts w:ascii="Century Gothic" w:hAnsi="Century Gothic"/>
          <w:sz w:val="20"/>
          <w:szCs w:val="20"/>
        </w:rPr>
        <w:t xml:space="preserve"> i 0,5 g </w:t>
      </w:r>
      <w:proofErr w:type="spellStart"/>
      <w:r w:rsidR="007311DB" w:rsidRPr="007311DB">
        <w:rPr>
          <w:rStyle w:val="descrbody"/>
          <w:rFonts w:ascii="Century Gothic" w:hAnsi="Century Gothic"/>
          <w:sz w:val="20"/>
          <w:szCs w:val="20"/>
        </w:rPr>
        <w:t>fruktooligosacharydów</w:t>
      </w:r>
      <w:proofErr w:type="spellEnd"/>
      <w:r w:rsidR="007311DB" w:rsidRPr="007311DB">
        <w:rPr>
          <w:rStyle w:val="descrbody"/>
          <w:rFonts w:ascii="Century Gothic" w:hAnsi="Century Gothic"/>
          <w:sz w:val="20"/>
          <w:szCs w:val="20"/>
        </w:rPr>
        <w:t xml:space="preserve"> (FOS).</w:t>
      </w:r>
    </w:p>
    <w:p w14:paraId="4BD96115" w14:textId="2CA2DB6D" w:rsidR="00967702" w:rsidRPr="00967702" w:rsidRDefault="00967702" w:rsidP="00967702">
      <w:pPr>
        <w:spacing w:line="256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967702">
        <w:rPr>
          <w:rFonts w:ascii="Century Gothic" w:eastAsia="Calibri" w:hAnsi="Century Gothic" w:cs="Times New Roman"/>
          <w:sz w:val="20"/>
          <w:szCs w:val="20"/>
        </w:rPr>
        <w:t xml:space="preserve">Podmiot odpowiedzialny: </w:t>
      </w:r>
      <w:proofErr w:type="spellStart"/>
      <w:r w:rsidRPr="00967702">
        <w:rPr>
          <w:rFonts w:ascii="Century Gothic" w:eastAsia="Calibri" w:hAnsi="Century Gothic" w:cs="Times New Roman"/>
          <w:sz w:val="20"/>
          <w:szCs w:val="20"/>
        </w:rPr>
        <w:t>Medana</w:t>
      </w:r>
      <w:proofErr w:type="spellEnd"/>
      <w:r w:rsidRPr="00967702">
        <w:rPr>
          <w:rFonts w:ascii="Century Gothic" w:eastAsia="Calibri" w:hAnsi="Century Gothic" w:cs="Times New Roman"/>
          <w:sz w:val="20"/>
          <w:szCs w:val="20"/>
        </w:rPr>
        <w:t xml:space="preserve"> Pharma SA.</w:t>
      </w:r>
    </w:p>
    <w:p w14:paraId="74204CF8" w14:textId="77777777" w:rsidR="00967702" w:rsidRPr="007311DB" w:rsidRDefault="00967702" w:rsidP="00272B6D">
      <w:pPr>
        <w:jc w:val="both"/>
        <w:rPr>
          <w:rFonts w:ascii="Century Gothic" w:hAnsi="Century Gothic"/>
          <w:sz w:val="20"/>
          <w:szCs w:val="20"/>
        </w:rPr>
      </w:pPr>
    </w:p>
    <w:sectPr w:rsidR="00967702" w:rsidRPr="0073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10"/>
    <w:rsid w:val="00272B6D"/>
    <w:rsid w:val="00382910"/>
    <w:rsid w:val="007311DB"/>
    <w:rsid w:val="00967702"/>
    <w:rsid w:val="009E3813"/>
    <w:rsid w:val="00A46719"/>
    <w:rsid w:val="00C4295A"/>
    <w:rsid w:val="00E4239B"/>
    <w:rsid w:val="00E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7DFF"/>
  <w15:chartTrackingRefBased/>
  <w15:docId w15:val="{D064F2C5-5216-4CE4-9E10-AC186DFC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11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1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11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7311DB"/>
  </w:style>
  <w:style w:type="character" w:customStyle="1" w:styleId="descrbody">
    <w:name w:val="descr_body"/>
    <w:basedOn w:val="Domylnaczcionkaakapitu"/>
    <w:rsid w:val="0073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A52FA-33C5-465E-8591-9C3EC0520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A6A81-461D-4A07-B60E-B66FF6E51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EE322-D790-4D8E-9893-849D44D3373C}">
  <ds:schemaRefs>
    <ds:schemaRef ds:uri="c795e9a5-8920-4954-9141-eaafe1e2d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2020-11-04T16:34:00Z</dcterms:created>
  <dcterms:modified xsi:type="dcterms:W3CDTF">2020-11-04T16:34:00Z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