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6284" w14:textId="7FFAC0D5" w:rsidR="00782F28" w:rsidRPr="00782F28" w:rsidRDefault="00782F28" w:rsidP="00782F28">
      <w:pPr>
        <w:jc w:val="right"/>
        <w:rPr>
          <w:rFonts w:ascii="Century Gothic" w:hAnsi="Century Gothic"/>
          <w:noProof/>
          <w:sz w:val="16"/>
          <w:szCs w:val="16"/>
          <w:lang w:val="en-US"/>
        </w:rPr>
      </w:pPr>
      <w:bookmarkStart w:id="0" w:name="_Hlk54695579"/>
      <w:r w:rsidRPr="00782F28">
        <w:rPr>
          <w:rFonts w:ascii="Century Gothic" w:hAnsi="Century Gothic"/>
          <w:noProof/>
          <w:sz w:val="16"/>
          <w:szCs w:val="16"/>
          <w:lang w:val="en-US"/>
        </w:rPr>
        <w:t>ACI/594/10-2020</w:t>
      </w:r>
    </w:p>
    <w:bookmarkEnd w:id="0"/>
    <w:p w14:paraId="7E2F6A20" w14:textId="4343ECA6" w:rsidR="0089107B" w:rsidRPr="00782F28" w:rsidRDefault="0089107B">
      <w:pPr>
        <w:rPr>
          <w:rFonts w:ascii="Century Gothic" w:hAnsi="Century Gothic"/>
          <w:b/>
          <w:bCs/>
          <w:noProof/>
          <w:sz w:val="20"/>
          <w:szCs w:val="20"/>
          <w:lang w:val="en-US"/>
        </w:rPr>
      </w:pPr>
      <w:r w:rsidRPr="00782F28">
        <w:rPr>
          <w:rFonts w:ascii="Century Gothic" w:hAnsi="Century Gothic"/>
          <w:b/>
          <w:bCs/>
          <w:noProof/>
          <w:sz w:val="20"/>
          <w:szCs w:val="20"/>
          <w:lang w:val="en-US"/>
        </w:rPr>
        <w:t>Acidolac caps x 20 kaps.</w:t>
      </w:r>
    </w:p>
    <w:p w14:paraId="7C075A0A" w14:textId="77777777" w:rsidR="004B72ED" w:rsidRDefault="00DC1C2E">
      <w:r>
        <w:rPr>
          <w:noProof/>
        </w:rPr>
        <w:drawing>
          <wp:inline distT="0" distB="0" distL="0" distR="0" wp14:anchorId="3F8B6615" wp14:editId="61D810B0">
            <wp:extent cx="3238500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2931" r="23280" b="23420"/>
                    <a:stretch/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61AC2" w14:textId="661FE46D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A728B5">
        <w:rPr>
          <w:rFonts w:ascii="Century Gothic" w:hAnsi="Century Gothic"/>
          <w:b/>
          <w:bCs/>
          <w:sz w:val="20"/>
          <w:szCs w:val="20"/>
        </w:rPr>
        <w:t>Acidolac</w:t>
      </w:r>
      <w:proofErr w:type="spellEnd"/>
      <w:r w:rsidRPr="00A728B5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® </w:t>
      </w:r>
      <w:proofErr w:type="spellStart"/>
      <w:r w:rsidRPr="00A728B5">
        <w:rPr>
          <w:rFonts w:ascii="Century Gothic" w:hAnsi="Century Gothic"/>
          <w:b/>
          <w:bCs/>
          <w:sz w:val="20"/>
          <w:szCs w:val="20"/>
        </w:rPr>
        <w:t>caps</w:t>
      </w:r>
      <w:proofErr w:type="spellEnd"/>
      <w:r w:rsidRPr="00A728B5">
        <w:rPr>
          <w:rFonts w:ascii="Century Gothic" w:hAnsi="Century Gothic"/>
          <w:sz w:val="20"/>
          <w:szCs w:val="20"/>
        </w:rPr>
        <w:t xml:space="preserve"> jest suplementem diety zawierającym liofilizowane kultury bakterii kwasu mlekowego </w:t>
      </w:r>
      <w:proofErr w:type="spellStart"/>
      <w:r w:rsidRPr="00A728B5">
        <w:rPr>
          <w:rFonts w:ascii="Century Gothic" w:hAnsi="Century Gothic"/>
          <w:bCs/>
          <w:i/>
          <w:iCs/>
          <w:sz w:val="20"/>
          <w:szCs w:val="20"/>
        </w:rPr>
        <w:t>Bifidobacterium</w:t>
      </w:r>
      <w:proofErr w:type="spellEnd"/>
      <w:r w:rsidRPr="00A728B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proofErr w:type="spellStart"/>
      <w:r w:rsidRPr="00A728B5">
        <w:rPr>
          <w:rFonts w:ascii="Century Gothic" w:hAnsi="Century Gothic"/>
          <w:bCs/>
          <w:i/>
          <w:iCs/>
          <w:sz w:val="20"/>
          <w:szCs w:val="20"/>
        </w:rPr>
        <w:t>animalis</w:t>
      </w:r>
      <w:proofErr w:type="spellEnd"/>
      <w:r w:rsidRPr="00A728B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proofErr w:type="spellStart"/>
      <w:r w:rsidRPr="00A728B5">
        <w:rPr>
          <w:rFonts w:ascii="Century Gothic" w:hAnsi="Century Gothic"/>
          <w:bCs/>
          <w:i/>
          <w:iCs/>
          <w:sz w:val="20"/>
          <w:szCs w:val="20"/>
        </w:rPr>
        <w:t>ssp</w:t>
      </w:r>
      <w:proofErr w:type="spellEnd"/>
      <w:r w:rsidRPr="00A728B5">
        <w:rPr>
          <w:rFonts w:ascii="Century Gothic" w:hAnsi="Century Gothic"/>
          <w:bCs/>
          <w:i/>
          <w:iCs/>
          <w:sz w:val="20"/>
          <w:szCs w:val="20"/>
        </w:rPr>
        <w:t xml:space="preserve">. </w:t>
      </w:r>
      <w:proofErr w:type="spellStart"/>
      <w:r w:rsidRPr="00A728B5">
        <w:rPr>
          <w:rFonts w:ascii="Century Gothic" w:hAnsi="Century Gothic"/>
          <w:bCs/>
          <w:i/>
          <w:iCs/>
          <w:sz w:val="20"/>
          <w:szCs w:val="20"/>
        </w:rPr>
        <w:t>lactis</w:t>
      </w:r>
      <w:proofErr w:type="spellEnd"/>
      <w:r w:rsidRPr="00A728B5">
        <w:rPr>
          <w:rFonts w:ascii="Century Gothic" w:hAnsi="Century Gothic"/>
          <w:bCs/>
          <w:sz w:val="20"/>
          <w:szCs w:val="20"/>
        </w:rPr>
        <w:t xml:space="preserve"> BIFOLAC</w:t>
      </w:r>
      <w:r w:rsidRPr="00A728B5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Pr="00A728B5">
        <w:rPr>
          <w:rFonts w:ascii="Century Gothic" w:hAnsi="Century Gothic"/>
          <w:bCs/>
          <w:sz w:val="20"/>
          <w:szCs w:val="20"/>
        </w:rPr>
        <w:t>12</w:t>
      </w:r>
      <w:r w:rsidRPr="00A728B5">
        <w:rPr>
          <w:rFonts w:ascii="Century Gothic" w:hAnsi="Century Gothic"/>
          <w:sz w:val="20"/>
          <w:szCs w:val="20"/>
        </w:rPr>
        <w:t xml:space="preserve">. Preparat można stosować w trakcie i po antybiotykoterapii w celu uzupełnienia </w:t>
      </w:r>
      <w:proofErr w:type="spellStart"/>
      <w:r w:rsidRPr="00A728B5">
        <w:rPr>
          <w:rFonts w:ascii="Century Gothic" w:hAnsi="Century Gothic"/>
          <w:sz w:val="20"/>
          <w:szCs w:val="20"/>
        </w:rPr>
        <w:t>mikrobioty</w:t>
      </w:r>
      <w:proofErr w:type="spellEnd"/>
      <w:r w:rsidRPr="00A728B5">
        <w:rPr>
          <w:rFonts w:ascii="Century Gothic" w:hAnsi="Century Gothic"/>
          <w:sz w:val="20"/>
          <w:szCs w:val="20"/>
        </w:rPr>
        <w:t xml:space="preserve"> jelitowej (flory bakteryjnej jelit). Można stosować także w podróży ze zmianą strefy klimatycznej, kiedy w przewodzie pokarmowym dochodzi do zmian w składzie mikroflory.</w:t>
      </w:r>
    </w:p>
    <w:p w14:paraId="080D5853" w14:textId="77777777" w:rsidR="0089107B" w:rsidRPr="0018275A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18275A">
        <w:rPr>
          <w:rFonts w:ascii="Century Gothic" w:hAnsi="Century Gothic"/>
          <w:b/>
          <w:sz w:val="20"/>
          <w:szCs w:val="20"/>
        </w:rPr>
        <w:t>Składniki</w:t>
      </w:r>
      <w:r w:rsidRPr="0018275A">
        <w:rPr>
          <w:rFonts w:ascii="Century Gothic" w:hAnsi="Century Gothic"/>
          <w:sz w:val="20"/>
          <w:szCs w:val="20"/>
        </w:rPr>
        <w:t xml:space="preserve">: 1 kapsułka zawiera </w:t>
      </w:r>
      <w:proofErr w:type="spellStart"/>
      <w:r w:rsidRPr="0018275A">
        <w:rPr>
          <w:rFonts w:ascii="Century Gothic" w:hAnsi="Century Gothic"/>
          <w:sz w:val="20"/>
          <w:szCs w:val="20"/>
        </w:rPr>
        <w:t>liofilizat</w:t>
      </w:r>
      <w:proofErr w:type="spellEnd"/>
      <w:r w:rsidRPr="0018275A">
        <w:rPr>
          <w:rFonts w:ascii="Century Gothic" w:hAnsi="Century Gothic"/>
          <w:sz w:val="20"/>
          <w:szCs w:val="20"/>
        </w:rPr>
        <w:t xml:space="preserve"> bakterii kwasu mlekowego zawierający </w:t>
      </w:r>
      <w:proofErr w:type="spellStart"/>
      <w:r w:rsidRPr="0018275A">
        <w:rPr>
          <w:rFonts w:ascii="Century Gothic" w:hAnsi="Century Gothic"/>
          <w:bCs/>
          <w:i/>
          <w:iCs/>
          <w:sz w:val="20"/>
          <w:szCs w:val="20"/>
        </w:rPr>
        <w:t>Bifidobacterium</w:t>
      </w:r>
      <w:proofErr w:type="spellEnd"/>
      <w:r w:rsidRPr="0018275A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proofErr w:type="spellStart"/>
      <w:r w:rsidRPr="0018275A">
        <w:rPr>
          <w:rFonts w:ascii="Century Gothic" w:hAnsi="Century Gothic"/>
          <w:bCs/>
          <w:i/>
          <w:iCs/>
          <w:sz w:val="20"/>
          <w:szCs w:val="20"/>
        </w:rPr>
        <w:t>animalis</w:t>
      </w:r>
      <w:proofErr w:type="spellEnd"/>
      <w:r w:rsidRPr="0018275A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proofErr w:type="spellStart"/>
      <w:r w:rsidRPr="0018275A">
        <w:rPr>
          <w:rFonts w:ascii="Century Gothic" w:hAnsi="Century Gothic"/>
          <w:bCs/>
          <w:i/>
          <w:iCs/>
          <w:sz w:val="20"/>
          <w:szCs w:val="20"/>
        </w:rPr>
        <w:t>ssp</w:t>
      </w:r>
      <w:proofErr w:type="spellEnd"/>
      <w:r w:rsidRPr="0018275A">
        <w:rPr>
          <w:rFonts w:ascii="Century Gothic" w:hAnsi="Century Gothic"/>
          <w:bCs/>
          <w:i/>
          <w:iCs/>
          <w:sz w:val="20"/>
          <w:szCs w:val="20"/>
        </w:rPr>
        <w:t xml:space="preserve">. </w:t>
      </w:r>
      <w:proofErr w:type="spellStart"/>
      <w:r w:rsidRPr="0018275A">
        <w:rPr>
          <w:rFonts w:ascii="Century Gothic" w:hAnsi="Century Gothic"/>
          <w:bCs/>
          <w:i/>
          <w:iCs/>
          <w:sz w:val="20"/>
          <w:szCs w:val="20"/>
        </w:rPr>
        <w:t>lactis</w:t>
      </w:r>
      <w:proofErr w:type="spellEnd"/>
      <w:r w:rsidRPr="0018275A">
        <w:rPr>
          <w:rFonts w:ascii="Century Gothic" w:hAnsi="Century Gothic"/>
          <w:bCs/>
          <w:sz w:val="20"/>
          <w:szCs w:val="20"/>
        </w:rPr>
        <w:t xml:space="preserve"> BIFOLAC</w:t>
      </w:r>
      <w:r w:rsidRPr="0018275A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Pr="0018275A">
        <w:rPr>
          <w:rFonts w:ascii="Century Gothic" w:hAnsi="Century Gothic"/>
          <w:bCs/>
          <w:sz w:val="20"/>
          <w:szCs w:val="20"/>
        </w:rPr>
        <w:t xml:space="preserve">12 </w:t>
      </w:r>
      <w:r w:rsidRPr="0018275A">
        <w:rPr>
          <w:rFonts w:ascii="Century Gothic" w:eastAsia="Microsoft Sans Serif" w:hAnsi="Century Gothic"/>
          <w:color w:val="000000"/>
          <w:sz w:val="20"/>
          <w:szCs w:val="20"/>
        </w:rPr>
        <w:t>2 mld (2x10</w:t>
      </w:r>
      <w:r w:rsidRPr="0018275A">
        <w:rPr>
          <w:rFonts w:ascii="Century Gothic" w:eastAsia="Microsoft Sans Serif" w:hAnsi="Century Gothic"/>
          <w:color w:val="000000"/>
          <w:sz w:val="20"/>
          <w:szCs w:val="20"/>
          <w:vertAlign w:val="superscript"/>
        </w:rPr>
        <w:t>9</w:t>
      </w:r>
      <w:r w:rsidRPr="0018275A">
        <w:rPr>
          <w:rFonts w:ascii="Century Gothic" w:eastAsia="Microsoft Sans Serif" w:hAnsi="Century Gothic"/>
          <w:color w:val="000000"/>
          <w:sz w:val="20"/>
          <w:szCs w:val="20"/>
        </w:rPr>
        <w:t xml:space="preserve"> CFU*)</w:t>
      </w:r>
    </w:p>
    <w:p w14:paraId="03022573" w14:textId="77777777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b/>
          <w:sz w:val="20"/>
          <w:szCs w:val="20"/>
        </w:rPr>
        <w:t xml:space="preserve">Zalecane spożycie: </w:t>
      </w:r>
      <w:r w:rsidRPr="00A728B5">
        <w:rPr>
          <w:rFonts w:ascii="Century Gothic" w:hAnsi="Century Gothic"/>
          <w:sz w:val="20"/>
          <w:szCs w:val="20"/>
        </w:rPr>
        <w:t>Dzieci powyżej 6. roku życia i dorośli: 1-2 kapsułki dziennie. Zawartość kapsułki można spożyć bezpośrednio lub po uprzednim wymieszaniu z wodą, jogurtem lub mlekiem. Nie należy rozprowadzać preparatu w gorących lub mrożonych płynach lub pokarmach.</w:t>
      </w:r>
    </w:p>
    <w:p w14:paraId="04635039" w14:textId="77777777" w:rsidR="0089107B" w:rsidRPr="00A728B5" w:rsidRDefault="0089107B" w:rsidP="0089107B">
      <w:pPr>
        <w:pStyle w:val="Bezodstpw"/>
        <w:jc w:val="both"/>
        <w:rPr>
          <w:rFonts w:ascii="Century Gothic" w:hAnsi="Century Gothic"/>
        </w:rPr>
      </w:pPr>
      <w:r w:rsidRPr="00A728B5">
        <w:rPr>
          <w:rStyle w:val="descrhead"/>
          <w:rFonts w:ascii="Century Gothic" w:hAnsi="Century Gothic"/>
        </w:rPr>
        <w:t>Bezpieczeństwo stosowania:</w:t>
      </w:r>
    </w:p>
    <w:p w14:paraId="71094AF6" w14:textId="77777777" w:rsidR="0089107B" w:rsidRPr="00A728B5" w:rsidRDefault="0089107B" w:rsidP="0089107B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0C8DAF4E" w14:textId="6501CA13" w:rsidR="0089107B" w:rsidRDefault="0089107B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227F925D" w14:textId="77777777" w:rsidR="00983324" w:rsidRPr="00983324" w:rsidRDefault="00983324" w:rsidP="00983324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83324">
        <w:rPr>
          <w:rFonts w:ascii="Century Gothic" w:hAnsi="Century Gothic"/>
          <w:b/>
          <w:color w:val="000000"/>
          <w:sz w:val="20"/>
          <w:szCs w:val="20"/>
        </w:rPr>
        <w:t>*C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olony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F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orming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U</w:t>
      </w:r>
      <w:r w:rsidRPr="00983324">
        <w:rPr>
          <w:rFonts w:ascii="Century Gothic" w:hAnsi="Century Gothic"/>
          <w:color w:val="000000"/>
          <w:sz w:val="20"/>
          <w:szCs w:val="20"/>
        </w:rPr>
        <w:t>nit - jednostka tworząca kolonię bakterii</w:t>
      </w:r>
    </w:p>
    <w:p w14:paraId="10B21F9C" w14:textId="77777777" w:rsidR="00983324" w:rsidRPr="00A728B5" w:rsidRDefault="00983324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328AF5EA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Zakłady Farmaceutyczne POLPHARMA S.A.</w:t>
      </w:r>
    </w:p>
    <w:p w14:paraId="1808DCCA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ul. Pelplińska 19</w:t>
      </w:r>
    </w:p>
    <w:p w14:paraId="270AEF80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83-200 Starogard Gdański</w:t>
      </w:r>
    </w:p>
    <w:p w14:paraId="6992CB3A" w14:textId="30BE5F28" w:rsidR="0089107B" w:rsidRDefault="008973C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3436" wp14:editId="12B0F98F">
                <wp:simplePos x="0" y="0"/>
                <wp:positionH relativeFrom="column">
                  <wp:posOffset>4257675</wp:posOffset>
                </wp:positionH>
                <wp:positionV relativeFrom="paragraph">
                  <wp:posOffset>762000</wp:posOffset>
                </wp:positionV>
                <wp:extent cx="1571625" cy="3333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0B04C" w14:textId="77777777" w:rsidR="008973C4" w:rsidRDefault="008973C4" w:rsidP="00897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3436" id="Prostokąt 2" o:spid="_x0000_s1026" style="position:absolute;margin-left:335.25pt;margin-top:60pt;width:12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" fillcolor="#4472c4 [3204]" stroked="f" strokeweight="1pt">
                <v:textbox>
                  <w:txbxContent>
                    <w:p w14:paraId="0560B04C" w14:textId="77777777" w:rsidR="008973C4" w:rsidRDefault="008973C4" w:rsidP="008973C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SUPLEMENT DIETY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2E"/>
    <w:rsid w:val="0018275A"/>
    <w:rsid w:val="004B72ED"/>
    <w:rsid w:val="00782F28"/>
    <w:rsid w:val="00783856"/>
    <w:rsid w:val="0089107B"/>
    <w:rsid w:val="008973C4"/>
    <w:rsid w:val="00983324"/>
    <w:rsid w:val="00C223DE"/>
    <w:rsid w:val="00D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8165"/>
  <w15:chartTrackingRefBased/>
  <w15:docId w15:val="{3D7ADEA5-943A-4006-A7CF-7364713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9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89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89107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9107B"/>
    <w:pPr>
      <w:shd w:val="clear" w:color="auto" w:fill="FFFFFF"/>
      <w:spacing w:after="0" w:line="240" w:lineRule="atLeast"/>
      <w:ind w:hanging="1420"/>
    </w:pPr>
  </w:style>
  <w:style w:type="character" w:customStyle="1" w:styleId="descrhead">
    <w:name w:val="descr_head"/>
    <w:basedOn w:val="Domylnaczcionkaakapitu"/>
    <w:rsid w:val="0089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C4B0B-823A-43A8-9586-03329A8E6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BCAE6-61D7-4F2F-9494-85C306834E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758BBA-C1D0-4632-8482-8470E9FF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2020-12-07T10:42:00Z</dcterms:created>
  <dcterms:modified xsi:type="dcterms:W3CDTF">2020-12-07T10:42:00Z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