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6404" w14:textId="77777777" w:rsidR="00B26B80" w:rsidRPr="00F0674D" w:rsidRDefault="009C11E5">
      <w:pPr>
        <w:rPr>
          <w:sz w:val="32"/>
          <w:szCs w:val="32"/>
        </w:rPr>
      </w:pPr>
      <w:proofErr w:type="spellStart"/>
      <w:r w:rsidRPr="00F0674D">
        <w:rPr>
          <w:sz w:val="32"/>
          <w:szCs w:val="32"/>
        </w:rPr>
        <w:t>Etopiryna</w:t>
      </w:r>
      <w:proofErr w:type="spellEnd"/>
      <w:r w:rsidRPr="00F0674D">
        <w:rPr>
          <w:sz w:val="32"/>
          <w:szCs w:val="32"/>
        </w:rPr>
        <w:t xml:space="preserve"> – tabletki od bólu głowy</w:t>
      </w:r>
    </w:p>
    <w:p w14:paraId="5420BDC6" w14:textId="77777777" w:rsidR="009C11E5" w:rsidRPr="00F0674D" w:rsidRDefault="009C11E5" w:rsidP="009C11E5">
      <w:pPr>
        <w:autoSpaceDE w:val="0"/>
        <w:autoSpaceDN w:val="0"/>
        <w:adjustRightInd w:val="0"/>
        <w:spacing w:after="0" w:line="240" w:lineRule="auto"/>
        <w:rPr>
          <w:i/>
          <w:iCs/>
          <w:sz w:val="32"/>
          <w:szCs w:val="32"/>
        </w:rPr>
      </w:pPr>
      <w:r w:rsidRPr="00F0674D">
        <w:rPr>
          <w:i/>
          <w:iCs/>
          <w:sz w:val="32"/>
          <w:szCs w:val="32"/>
        </w:rPr>
        <w:t>(</w:t>
      </w:r>
      <w:proofErr w:type="spellStart"/>
      <w:r w:rsidRPr="00F0674D">
        <w:rPr>
          <w:i/>
          <w:iCs/>
          <w:sz w:val="32"/>
          <w:szCs w:val="32"/>
        </w:rPr>
        <w:t>Acidum</w:t>
      </w:r>
      <w:proofErr w:type="spellEnd"/>
      <w:r w:rsidRPr="00F0674D">
        <w:rPr>
          <w:i/>
          <w:iCs/>
          <w:sz w:val="32"/>
          <w:szCs w:val="32"/>
        </w:rPr>
        <w:t xml:space="preserve"> </w:t>
      </w:r>
      <w:proofErr w:type="spellStart"/>
      <w:r w:rsidRPr="00F0674D">
        <w:rPr>
          <w:i/>
          <w:iCs/>
          <w:sz w:val="32"/>
          <w:szCs w:val="32"/>
        </w:rPr>
        <w:t>acetylsalicylicum</w:t>
      </w:r>
      <w:proofErr w:type="spellEnd"/>
      <w:r w:rsidRPr="00F0674D">
        <w:rPr>
          <w:i/>
          <w:iCs/>
          <w:sz w:val="32"/>
          <w:szCs w:val="32"/>
        </w:rPr>
        <w:t xml:space="preserve">, </w:t>
      </w:r>
      <w:proofErr w:type="spellStart"/>
      <w:r w:rsidRPr="00F0674D">
        <w:rPr>
          <w:i/>
          <w:iCs/>
          <w:sz w:val="32"/>
          <w:szCs w:val="32"/>
        </w:rPr>
        <w:t>Ethenzamidum</w:t>
      </w:r>
      <w:proofErr w:type="spellEnd"/>
      <w:r w:rsidRPr="00F0674D">
        <w:rPr>
          <w:i/>
          <w:iCs/>
          <w:sz w:val="32"/>
          <w:szCs w:val="32"/>
        </w:rPr>
        <w:t xml:space="preserve">, </w:t>
      </w:r>
      <w:proofErr w:type="spellStart"/>
      <w:r w:rsidRPr="00F0674D">
        <w:rPr>
          <w:i/>
          <w:iCs/>
          <w:sz w:val="32"/>
          <w:szCs w:val="32"/>
        </w:rPr>
        <w:t>Coffeinum</w:t>
      </w:r>
      <w:proofErr w:type="spellEnd"/>
      <w:r w:rsidRPr="00F0674D">
        <w:rPr>
          <w:i/>
          <w:iCs/>
          <w:sz w:val="32"/>
          <w:szCs w:val="32"/>
        </w:rPr>
        <w:t>)</w:t>
      </w:r>
    </w:p>
    <w:p w14:paraId="071D4A59" w14:textId="77777777" w:rsidR="009C11E5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7E3FB6">
        <w:rPr>
          <w:noProof/>
          <w:sz w:val="36"/>
          <w:szCs w:val="36"/>
        </w:rPr>
        <w:drawing>
          <wp:inline distT="0" distB="0" distL="0" distR="0">
            <wp:extent cx="2727960" cy="176571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83" cy="17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DDA6" w14:textId="77777777" w:rsidR="007E3FB6" w:rsidRPr="00F0674D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3A78EE50" w14:textId="77777777" w:rsidR="00F0674D" w:rsidRPr="00F0674D" w:rsidRDefault="00F0674D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 w:rsidRPr="00F0674D">
        <w:rPr>
          <w:rFonts w:ascii="MyriadPro-BlackCond" w:hAnsi="MyriadPro-BlackCond" w:cs="MyriadPro-BlackCond"/>
          <w:b/>
          <w:bCs/>
        </w:rPr>
        <w:t>SKŁAD I POSTAĆ:</w:t>
      </w:r>
      <w:r w:rsidRPr="00F0674D"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 xml:space="preserve">1 tabletka zawiera 300 mg kwasu acetylosalicylowego, 100 mg </w:t>
      </w:r>
      <w:proofErr w:type="spellStart"/>
      <w:r w:rsidRPr="00F0674D">
        <w:rPr>
          <w:rFonts w:ascii="MyriadPro-Cond" w:hAnsi="MyriadPro-Cond" w:cs="MyriadPro-Cond"/>
        </w:rPr>
        <w:t>etenzamidu</w:t>
      </w:r>
      <w:proofErr w:type="spellEnd"/>
      <w:r w:rsidRPr="00F0674D">
        <w:rPr>
          <w:rFonts w:ascii="MyriadPro-Cond" w:hAnsi="MyriadPro-Cond" w:cs="MyriadPro-Cond"/>
        </w:rPr>
        <w:t>, 50 mg kofeiny.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Substancja pomocnicza o znanym działaniu: laktoza jednowodna. </w:t>
      </w:r>
      <w:r w:rsidRPr="00F0674D">
        <w:rPr>
          <w:rFonts w:ascii="MyriadPro-BlackCond" w:hAnsi="MyriadPro-BlackCond" w:cs="MyriadPro-BlackCond"/>
          <w:b/>
          <w:bCs/>
        </w:rPr>
        <w:t>WSKAZANIA:</w:t>
      </w:r>
      <w:r w:rsidRPr="00F0674D"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>Bóle głowy oraz inne bóle o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umiarkowanym nasileniu, zwłaszcza pochodzenia zapalnego. </w:t>
      </w:r>
      <w:r w:rsidRPr="00F0674D">
        <w:rPr>
          <w:rFonts w:ascii="MyriadPro-BlackCond" w:hAnsi="MyriadPro-BlackCond" w:cs="MyriadPro-BlackCond"/>
          <w:b/>
          <w:bCs/>
        </w:rPr>
        <w:t xml:space="preserve">PRZECIWWSKAZANIA: </w:t>
      </w:r>
      <w:r w:rsidRPr="00F0674D">
        <w:rPr>
          <w:rFonts w:ascii="MyriadPro-Cond" w:hAnsi="MyriadPro-Cond" w:cs="MyriadPro-Cond"/>
        </w:rPr>
        <w:t>Produktu leczniczego nie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należy stosować w następujących przypadkach: nadwrażliwość na substancję czynną lub na którąkolwiek substancję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pomocniczą leku. Nadwrażliwość na kwas acetylosalicylowy występuje u 0,3% populacji, w tym u 20%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chorych na astmę oskrzelową lub przewlekłą pokrzywkę. Objawy nadwrażliwości: pokrzywka, a nawet wstrząs,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mogą wystąpić w ciągu 3 godzin od przyjęcia kwasu acetylosalicylowego; nadwrażliwość na inne niesteroidowe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leki </w:t>
      </w:r>
      <w:r>
        <w:rPr>
          <w:rFonts w:ascii="MyriadPro-Cond" w:hAnsi="MyriadPro-Cond" w:cs="MyriadPro-Cond"/>
        </w:rPr>
        <w:t>p</w:t>
      </w:r>
      <w:r w:rsidRPr="00F0674D">
        <w:rPr>
          <w:rFonts w:ascii="MyriadPro-Cond" w:hAnsi="MyriadPro-Cond" w:cs="MyriadPro-Cond"/>
        </w:rPr>
        <w:t>rzeciwzapalne, przebiegająca z objawami takimi jak: skurcz oskrzeli, katar sienny, wstrząs; astma oskrzelowa,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przewlekłe schorzenia układu oddechowego, gorączka sienna lub obrzęk błony śluzowej nosa, gdyż pacjenci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z tymi schorzeniami mogą reagować na niesteroidowe leki przeciwzapalne napadami astmy, ograniczonym obrzękiem skóry i błony śluzowej (obrzęk naczynioruchowy) lub</w:t>
      </w:r>
    </w:p>
    <w:p w14:paraId="4C5B5811" w14:textId="77777777" w:rsidR="009C11E5" w:rsidRDefault="00F0674D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 w:rsidRPr="00F0674D">
        <w:rPr>
          <w:rFonts w:ascii="MyriadPro-Cond" w:hAnsi="MyriadPro-Cond" w:cs="MyriadPro-Cond"/>
        </w:rPr>
        <w:t>pokrzywką częściej niż inni pacjenci; czynna choroba wrzodowa żołądka i (lub) dwunastnicy oraz stany zapalne lub krwawienia z przewodu pokarmowego (może dojść do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wystąpienia krwawienia z przewodu pokarmowego lub uczynnienia choroby wrzodowej); ciężka niewydolność wątroby lub nerek; ciężka niewydolność serca; zaburzenia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krzepnięcia krwi (np. hemofilia, małopłytkowość) oraz jednoczesne leczenie środkami przeciwzakrzepowymi (np. pochodne kumaryny, heparyna); niedobór dehydrogenazy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glukozo-6-fosforanowej; jednoczesne stosowanie z </w:t>
      </w:r>
      <w:proofErr w:type="spellStart"/>
      <w:r w:rsidRPr="00F0674D">
        <w:rPr>
          <w:rFonts w:ascii="MyriadPro-Cond" w:hAnsi="MyriadPro-Cond" w:cs="MyriadPro-Cond"/>
        </w:rPr>
        <w:t>metotreksatem</w:t>
      </w:r>
      <w:proofErr w:type="spellEnd"/>
      <w:r w:rsidRPr="00F0674D">
        <w:rPr>
          <w:rFonts w:ascii="MyriadPro-Cond" w:hAnsi="MyriadPro-Cond" w:cs="MyriadPro-Cond"/>
        </w:rPr>
        <w:t xml:space="preserve"> w dawkach 15 mg tygodniowo lub większych, ze względu na </w:t>
      </w:r>
      <w:proofErr w:type="spellStart"/>
      <w:r w:rsidRPr="00F0674D">
        <w:rPr>
          <w:rFonts w:ascii="MyriadPro-Cond" w:hAnsi="MyriadPro-Cond" w:cs="MyriadPro-Cond"/>
        </w:rPr>
        <w:t>mielotoksyczność</w:t>
      </w:r>
      <w:proofErr w:type="spellEnd"/>
      <w:r w:rsidRPr="00F0674D">
        <w:rPr>
          <w:rFonts w:ascii="MyriadPro-Cond" w:hAnsi="MyriadPro-Cond" w:cs="MyriadPro-Cond"/>
        </w:rPr>
        <w:t>; u dzieci i młodzieży w wieku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poniżej 16 lat, zwłaszcza w przebiegu infekcji wirusowych, ze względu na ryzyko wystąpienia zespołu </w:t>
      </w:r>
      <w:proofErr w:type="spellStart"/>
      <w:r w:rsidRPr="00F0674D">
        <w:rPr>
          <w:rFonts w:ascii="MyriadPro-Cond" w:hAnsi="MyriadPro-Cond" w:cs="MyriadPro-Cond"/>
        </w:rPr>
        <w:t>Reye’a</w:t>
      </w:r>
      <w:proofErr w:type="spellEnd"/>
      <w:r w:rsidRPr="00F0674D">
        <w:rPr>
          <w:rFonts w:ascii="MyriadPro-Cond" w:hAnsi="MyriadPro-Cond" w:cs="MyriadPro-Cond"/>
        </w:rPr>
        <w:t xml:space="preserve">; ostatni trymestr ciąży i okres karmienia piersią. </w:t>
      </w:r>
      <w:r w:rsidRPr="00F0674D">
        <w:rPr>
          <w:rFonts w:ascii="MyriadPro-BlackCond" w:hAnsi="MyriadPro-BlackCond" w:cs="MyriadPro-BlackCond"/>
          <w:b/>
          <w:bCs/>
        </w:rPr>
        <w:t>PODMIOT ODPOWIEDZIALNY:</w:t>
      </w:r>
      <w:r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 xml:space="preserve">Zakłady Farmaceutyczne Polpharma S.A. Dodatkowych informacji o leku udziela: Polpharma Biuro Handlowe Sp. z o.o., ul. </w:t>
      </w:r>
      <w:proofErr w:type="spellStart"/>
      <w:r w:rsidRPr="00F0674D">
        <w:rPr>
          <w:rFonts w:ascii="MyriadPro-Cond" w:hAnsi="MyriadPro-Cond" w:cs="MyriadPro-Cond"/>
        </w:rPr>
        <w:t>Bobrowiecka</w:t>
      </w:r>
      <w:proofErr w:type="spellEnd"/>
      <w:r w:rsidRPr="00F0674D">
        <w:rPr>
          <w:rFonts w:ascii="MyriadPro-Cond" w:hAnsi="MyriadPro-Cond" w:cs="MyriadPro-Cond"/>
        </w:rPr>
        <w:t xml:space="preserve"> 6, 00-728 Warszawa; tel.: +48 22 364 61 00; faks: +48 22 364 61 02</w:t>
      </w:r>
    </w:p>
    <w:p w14:paraId="674E5851" w14:textId="77777777" w:rsidR="00D3412A" w:rsidRDefault="00D3412A" w:rsidP="00F067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39F1AF4" w14:textId="77777777" w:rsidR="00D3412A" w:rsidRPr="00F0674D" w:rsidRDefault="00D3412A" w:rsidP="00F0674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D3412A" w:rsidRPr="00F0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lack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5"/>
    <w:rsid w:val="0064091E"/>
    <w:rsid w:val="007E3FB6"/>
    <w:rsid w:val="009C11E5"/>
    <w:rsid w:val="00B26B80"/>
    <w:rsid w:val="00D3412A"/>
    <w:rsid w:val="00D946CB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A8D1"/>
  <w15:chartTrackingRefBased/>
  <w15:docId w15:val="{D176036F-5961-4792-B5C3-42B31B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EC0E1-0DC8-4AFB-8FED-3A015C99B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CDCDA-0981-4334-922E-3E1771B2C6D4}">
  <ds:schemaRefs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30669C-19A1-465A-87B3-A48C3D7E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2188</Characters>
  <Application>Microsoft Office Word</Application>
  <DocSecurity>4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Kruk-Ziemlicka Anna</dc:creator>
  <cp:keywords/>
  <dc:description/>
  <cp:lastModifiedBy>Ciuchta Małgorzata</cp:lastModifiedBy>
  <cp:revision>2</cp:revision>
  <dcterms:created xsi:type="dcterms:W3CDTF">2020-12-07T10:58:00Z</dcterms:created>
  <dcterms:modified xsi:type="dcterms:W3CDTF">2020-12-07T10:58:00Z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