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943E5" w14:textId="77777777" w:rsidR="00B26B80" w:rsidRPr="00F0674D" w:rsidRDefault="009C11E5">
      <w:pPr>
        <w:rPr>
          <w:sz w:val="32"/>
          <w:szCs w:val="32"/>
        </w:rPr>
      </w:pPr>
      <w:proofErr w:type="spellStart"/>
      <w:r w:rsidRPr="00F0674D">
        <w:rPr>
          <w:sz w:val="32"/>
          <w:szCs w:val="32"/>
        </w:rPr>
        <w:t>Etopiryna</w:t>
      </w:r>
      <w:proofErr w:type="spellEnd"/>
      <w:r w:rsidRPr="00F0674D">
        <w:rPr>
          <w:sz w:val="32"/>
          <w:szCs w:val="32"/>
        </w:rPr>
        <w:t xml:space="preserve"> – tabletki od bólu głowy</w:t>
      </w:r>
    </w:p>
    <w:p w14:paraId="6FCE6315" w14:textId="77777777" w:rsidR="009C11E5" w:rsidRPr="00F0674D" w:rsidRDefault="009C11E5" w:rsidP="009C11E5">
      <w:pPr>
        <w:autoSpaceDE w:val="0"/>
        <w:autoSpaceDN w:val="0"/>
        <w:adjustRightInd w:val="0"/>
        <w:spacing w:after="0" w:line="240" w:lineRule="auto"/>
        <w:rPr>
          <w:i/>
          <w:iCs/>
          <w:sz w:val="32"/>
          <w:szCs w:val="32"/>
        </w:rPr>
      </w:pPr>
      <w:r w:rsidRPr="00F0674D">
        <w:rPr>
          <w:i/>
          <w:iCs/>
          <w:sz w:val="32"/>
          <w:szCs w:val="32"/>
        </w:rPr>
        <w:t>(</w:t>
      </w:r>
      <w:proofErr w:type="spellStart"/>
      <w:r w:rsidRPr="00F0674D">
        <w:rPr>
          <w:i/>
          <w:iCs/>
          <w:sz w:val="32"/>
          <w:szCs w:val="32"/>
        </w:rPr>
        <w:t>Acidum</w:t>
      </w:r>
      <w:proofErr w:type="spellEnd"/>
      <w:r w:rsidRPr="00F0674D">
        <w:rPr>
          <w:i/>
          <w:iCs/>
          <w:sz w:val="32"/>
          <w:szCs w:val="32"/>
        </w:rPr>
        <w:t xml:space="preserve"> </w:t>
      </w:r>
      <w:proofErr w:type="spellStart"/>
      <w:r w:rsidRPr="00F0674D">
        <w:rPr>
          <w:i/>
          <w:iCs/>
          <w:sz w:val="32"/>
          <w:szCs w:val="32"/>
        </w:rPr>
        <w:t>acetylsalicylicum</w:t>
      </w:r>
      <w:proofErr w:type="spellEnd"/>
      <w:r w:rsidRPr="00F0674D">
        <w:rPr>
          <w:i/>
          <w:iCs/>
          <w:sz w:val="32"/>
          <w:szCs w:val="32"/>
        </w:rPr>
        <w:t xml:space="preserve">, </w:t>
      </w:r>
      <w:proofErr w:type="spellStart"/>
      <w:r w:rsidRPr="00F0674D">
        <w:rPr>
          <w:i/>
          <w:iCs/>
          <w:sz w:val="32"/>
          <w:szCs w:val="32"/>
        </w:rPr>
        <w:t>Ethenzamidum</w:t>
      </w:r>
      <w:proofErr w:type="spellEnd"/>
      <w:r w:rsidRPr="00F0674D">
        <w:rPr>
          <w:i/>
          <w:iCs/>
          <w:sz w:val="32"/>
          <w:szCs w:val="32"/>
        </w:rPr>
        <w:t xml:space="preserve">, </w:t>
      </w:r>
      <w:proofErr w:type="spellStart"/>
      <w:r w:rsidRPr="00F0674D">
        <w:rPr>
          <w:i/>
          <w:iCs/>
          <w:sz w:val="32"/>
          <w:szCs w:val="32"/>
        </w:rPr>
        <w:t>Coffeinum</w:t>
      </w:r>
      <w:proofErr w:type="spellEnd"/>
      <w:r w:rsidRPr="00F0674D">
        <w:rPr>
          <w:i/>
          <w:iCs/>
          <w:sz w:val="32"/>
          <w:szCs w:val="32"/>
        </w:rPr>
        <w:t>)</w:t>
      </w:r>
    </w:p>
    <w:p w14:paraId="5BBC13FD" w14:textId="77777777" w:rsidR="009C11E5" w:rsidRPr="00220324" w:rsidRDefault="00220324" w:rsidP="007E3FB6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  <w:r w:rsidRPr="00220324">
        <w:rPr>
          <w:noProof/>
          <w:sz w:val="36"/>
          <w:szCs w:val="36"/>
        </w:rPr>
        <w:drawing>
          <wp:inline distT="0" distB="0" distL="0" distR="0">
            <wp:extent cx="3061882" cy="2270760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82" cy="227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7C3ED" w14:textId="77777777" w:rsidR="007E3FB6" w:rsidRPr="00F0674D" w:rsidRDefault="007E3FB6" w:rsidP="007E3FB6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</w:p>
    <w:p w14:paraId="17042DF9" w14:textId="77777777" w:rsidR="00F0674D" w:rsidRPr="00F0674D" w:rsidRDefault="00F0674D" w:rsidP="00F0674D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  <w:r w:rsidRPr="00F0674D">
        <w:rPr>
          <w:rFonts w:ascii="MyriadPro-BlackCond" w:hAnsi="MyriadPro-BlackCond" w:cs="MyriadPro-BlackCond"/>
          <w:b/>
          <w:bCs/>
        </w:rPr>
        <w:t>SKŁAD I POSTAĆ:</w:t>
      </w:r>
      <w:r w:rsidRPr="00F0674D">
        <w:rPr>
          <w:rFonts w:ascii="MyriadPro-BlackCond" w:hAnsi="MyriadPro-BlackCond" w:cs="MyriadPro-BlackCond"/>
        </w:rPr>
        <w:t xml:space="preserve"> </w:t>
      </w:r>
      <w:r w:rsidRPr="00F0674D">
        <w:rPr>
          <w:rFonts w:ascii="MyriadPro-Cond" w:hAnsi="MyriadPro-Cond" w:cs="MyriadPro-Cond"/>
        </w:rPr>
        <w:t xml:space="preserve">1 tabletka zawiera 300 mg kwasu acetylosalicylowego, 100 mg </w:t>
      </w:r>
      <w:proofErr w:type="spellStart"/>
      <w:r w:rsidRPr="00F0674D">
        <w:rPr>
          <w:rFonts w:ascii="MyriadPro-Cond" w:hAnsi="MyriadPro-Cond" w:cs="MyriadPro-Cond"/>
        </w:rPr>
        <w:t>etenzamidu</w:t>
      </w:r>
      <w:proofErr w:type="spellEnd"/>
      <w:r w:rsidRPr="00F0674D">
        <w:rPr>
          <w:rFonts w:ascii="MyriadPro-Cond" w:hAnsi="MyriadPro-Cond" w:cs="MyriadPro-Cond"/>
        </w:rPr>
        <w:t>, 50 mg kofeiny.</w:t>
      </w:r>
      <w:r>
        <w:rPr>
          <w:rFonts w:ascii="MyriadPro-Cond" w:hAnsi="MyriadPro-Cond" w:cs="MyriadPro-Cond"/>
        </w:rPr>
        <w:t xml:space="preserve"> </w:t>
      </w:r>
      <w:r w:rsidRPr="00F0674D">
        <w:rPr>
          <w:rFonts w:ascii="MyriadPro-Cond" w:hAnsi="MyriadPro-Cond" w:cs="MyriadPro-Cond"/>
        </w:rPr>
        <w:t xml:space="preserve">Substancja pomocnicza o znanym działaniu: laktoza jednowodna. </w:t>
      </w:r>
      <w:r w:rsidRPr="00F0674D">
        <w:rPr>
          <w:rFonts w:ascii="MyriadPro-BlackCond" w:hAnsi="MyriadPro-BlackCond" w:cs="MyriadPro-BlackCond"/>
          <w:b/>
          <w:bCs/>
        </w:rPr>
        <w:t>WSKAZANIA:</w:t>
      </w:r>
      <w:r w:rsidRPr="00F0674D">
        <w:rPr>
          <w:rFonts w:ascii="MyriadPro-BlackCond" w:hAnsi="MyriadPro-BlackCond" w:cs="MyriadPro-BlackCond"/>
        </w:rPr>
        <w:t xml:space="preserve"> </w:t>
      </w:r>
      <w:r w:rsidRPr="00F0674D">
        <w:rPr>
          <w:rFonts w:ascii="MyriadPro-Cond" w:hAnsi="MyriadPro-Cond" w:cs="MyriadPro-Cond"/>
        </w:rPr>
        <w:t>Bóle głowy oraz inne bóle o</w:t>
      </w:r>
      <w:r>
        <w:rPr>
          <w:rFonts w:ascii="MyriadPro-Cond" w:hAnsi="MyriadPro-Cond" w:cs="MyriadPro-Cond"/>
        </w:rPr>
        <w:t xml:space="preserve"> </w:t>
      </w:r>
      <w:r w:rsidRPr="00F0674D">
        <w:rPr>
          <w:rFonts w:ascii="MyriadPro-Cond" w:hAnsi="MyriadPro-Cond" w:cs="MyriadPro-Cond"/>
        </w:rPr>
        <w:t xml:space="preserve">umiarkowanym nasileniu, zwłaszcza pochodzenia zapalnego. </w:t>
      </w:r>
      <w:r w:rsidRPr="00F0674D">
        <w:rPr>
          <w:rFonts w:ascii="MyriadPro-BlackCond" w:hAnsi="MyriadPro-BlackCond" w:cs="MyriadPro-BlackCond"/>
          <w:b/>
          <w:bCs/>
        </w:rPr>
        <w:t xml:space="preserve">PRZECIWWSKAZANIA: </w:t>
      </w:r>
      <w:r w:rsidRPr="00F0674D">
        <w:rPr>
          <w:rFonts w:ascii="MyriadPro-Cond" w:hAnsi="MyriadPro-Cond" w:cs="MyriadPro-Cond"/>
        </w:rPr>
        <w:t>Produktu leczniczego nie</w:t>
      </w:r>
      <w:r>
        <w:rPr>
          <w:rFonts w:ascii="MyriadPro-Cond" w:hAnsi="MyriadPro-Cond" w:cs="MyriadPro-Cond"/>
        </w:rPr>
        <w:t xml:space="preserve"> </w:t>
      </w:r>
      <w:r w:rsidRPr="00F0674D">
        <w:rPr>
          <w:rFonts w:ascii="MyriadPro-Cond" w:hAnsi="MyriadPro-Cond" w:cs="MyriadPro-Cond"/>
        </w:rPr>
        <w:t>należy stosować w następujących przypadkach: nadwrażliwość na substancję czynną lub na którąkolwiek substancję</w:t>
      </w:r>
      <w:r>
        <w:rPr>
          <w:rFonts w:ascii="MyriadPro-Cond" w:hAnsi="MyriadPro-Cond" w:cs="MyriadPro-Cond"/>
        </w:rPr>
        <w:t xml:space="preserve"> </w:t>
      </w:r>
      <w:r w:rsidRPr="00F0674D">
        <w:rPr>
          <w:rFonts w:ascii="MyriadPro-Cond" w:hAnsi="MyriadPro-Cond" w:cs="MyriadPro-Cond"/>
        </w:rPr>
        <w:t>pomocniczą leku. Nadwrażliwość na kwas acetylosalicylowy występuje u 0,3% populacji, w tym u 20%</w:t>
      </w:r>
      <w:r>
        <w:rPr>
          <w:rFonts w:ascii="MyriadPro-Cond" w:hAnsi="MyriadPro-Cond" w:cs="MyriadPro-Cond"/>
        </w:rPr>
        <w:t xml:space="preserve"> </w:t>
      </w:r>
      <w:r w:rsidRPr="00F0674D">
        <w:rPr>
          <w:rFonts w:ascii="MyriadPro-Cond" w:hAnsi="MyriadPro-Cond" w:cs="MyriadPro-Cond"/>
        </w:rPr>
        <w:t>chorych na astmę oskrzelową lub przewlekłą pokrzywkę. Objawy nadwrażliwości: pokrzywka, a nawet wstrząs,</w:t>
      </w:r>
      <w:r>
        <w:rPr>
          <w:rFonts w:ascii="MyriadPro-Cond" w:hAnsi="MyriadPro-Cond" w:cs="MyriadPro-Cond"/>
        </w:rPr>
        <w:t xml:space="preserve"> </w:t>
      </w:r>
      <w:r w:rsidRPr="00F0674D">
        <w:rPr>
          <w:rFonts w:ascii="MyriadPro-Cond" w:hAnsi="MyriadPro-Cond" w:cs="MyriadPro-Cond"/>
        </w:rPr>
        <w:t>mogą wystąpić w ciągu 3 godzin od przyjęcia kwasu acetylosalicylowego; nadwrażliwość na inne niesteroidowe</w:t>
      </w:r>
      <w:r>
        <w:rPr>
          <w:rFonts w:ascii="MyriadPro-Cond" w:hAnsi="MyriadPro-Cond" w:cs="MyriadPro-Cond"/>
        </w:rPr>
        <w:t xml:space="preserve"> </w:t>
      </w:r>
      <w:r w:rsidRPr="00F0674D">
        <w:rPr>
          <w:rFonts w:ascii="MyriadPro-Cond" w:hAnsi="MyriadPro-Cond" w:cs="MyriadPro-Cond"/>
        </w:rPr>
        <w:t xml:space="preserve">leki </w:t>
      </w:r>
      <w:r>
        <w:rPr>
          <w:rFonts w:ascii="MyriadPro-Cond" w:hAnsi="MyriadPro-Cond" w:cs="MyriadPro-Cond"/>
        </w:rPr>
        <w:t>p</w:t>
      </w:r>
      <w:r w:rsidRPr="00F0674D">
        <w:rPr>
          <w:rFonts w:ascii="MyriadPro-Cond" w:hAnsi="MyriadPro-Cond" w:cs="MyriadPro-Cond"/>
        </w:rPr>
        <w:t>rzeciwzapalne, przebiegająca z objawami takimi jak: skurcz oskrzeli, katar sienny, wstrząs; astma oskrzelowa,</w:t>
      </w:r>
      <w:r>
        <w:rPr>
          <w:rFonts w:ascii="MyriadPro-Cond" w:hAnsi="MyriadPro-Cond" w:cs="MyriadPro-Cond"/>
        </w:rPr>
        <w:t xml:space="preserve"> </w:t>
      </w:r>
      <w:r w:rsidRPr="00F0674D">
        <w:rPr>
          <w:rFonts w:ascii="MyriadPro-Cond" w:hAnsi="MyriadPro-Cond" w:cs="MyriadPro-Cond"/>
        </w:rPr>
        <w:t>przewlekłe schorzenia układu oddechowego, gorączka sienna lub obrzęk błony śluzowej nosa, gdyż pacjenci</w:t>
      </w:r>
      <w:r>
        <w:rPr>
          <w:rFonts w:ascii="MyriadPro-Cond" w:hAnsi="MyriadPro-Cond" w:cs="MyriadPro-Cond"/>
        </w:rPr>
        <w:t xml:space="preserve"> </w:t>
      </w:r>
      <w:r w:rsidRPr="00F0674D">
        <w:rPr>
          <w:rFonts w:ascii="MyriadPro-Cond" w:hAnsi="MyriadPro-Cond" w:cs="MyriadPro-Cond"/>
        </w:rPr>
        <w:t>z tymi schorzeniami mogą reagować na niesteroidowe leki przeciwzapalne napadami astmy, ograniczonym obrzękiem skóry i błony śluzowej (obrzęk naczynioruchowy) lub</w:t>
      </w:r>
    </w:p>
    <w:p w14:paraId="166458E4" w14:textId="77777777" w:rsidR="009C11E5" w:rsidRDefault="00F0674D" w:rsidP="00F0674D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  <w:r w:rsidRPr="00F0674D">
        <w:rPr>
          <w:rFonts w:ascii="MyriadPro-Cond" w:hAnsi="MyriadPro-Cond" w:cs="MyriadPro-Cond"/>
        </w:rPr>
        <w:t>pokrzywką częściej niż inni pacjenci; czynna choroba wrzodowa żołądka i (lub) dwunastnicy oraz stany zapalne lub krwawienia z przewodu pokarmowego (może dojść do</w:t>
      </w:r>
      <w:r>
        <w:rPr>
          <w:rFonts w:ascii="MyriadPro-Cond" w:hAnsi="MyriadPro-Cond" w:cs="MyriadPro-Cond"/>
        </w:rPr>
        <w:t xml:space="preserve"> </w:t>
      </w:r>
      <w:r w:rsidRPr="00F0674D">
        <w:rPr>
          <w:rFonts w:ascii="MyriadPro-Cond" w:hAnsi="MyriadPro-Cond" w:cs="MyriadPro-Cond"/>
        </w:rPr>
        <w:t>wystąpienia krwawienia z przewodu pokarmowego lub uczynnienia choroby wrzodowej); ciężka niewydolność wątroby lub nerek; ciężka niewydolność serca; zaburzenia</w:t>
      </w:r>
      <w:r>
        <w:rPr>
          <w:rFonts w:ascii="MyriadPro-Cond" w:hAnsi="MyriadPro-Cond" w:cs="MyriadPro-Cond"/>
        </w:rPr>
        <w:t xml:space="preserve"> </w:t>
      </w:r>
      <w:r w:rsidRPr="00F0674D">
        <w:rPr>
          <w:rFonts w:ascii="MyriadPro-Cond" w:hAnsi="MyriadPro-Cond" w:cs="MyriadPro-Cond"/>
        </w:rPr>
        <w:t>krzepnięcia krwi (np. hemofilia, małopłytkowość) oraz jednoczesne leczenie środkami przeciwzakrzepowymi (np. pochodne kumaryny, heparyna); niedobór dehydrogenazy</w:t>
      </w:r>
      <w:r>
        <w:rPr>
          <w:rFonts w:ascii="MyriadPro-Cond" w:hAnsi="MyriadPro-Cond" w:cs="MyriadPro-Cond"/>
        </w:rPr>
        <w:t xml:space="preserve"> </w:t>
      </w:r>
      <w:r w:rsidRPr="00F0674D">
        <w:rPr>
          <w:rFonts w:ascii="MyriadPro-Cond" w:hAnsi="MyriadPro-Cond" w:cs="MyriadPro-Cond"/>
        </w:rPr>
        <w:t xml:space="preserve">glukozo-6-fosforanowej; jednoczesne stosowanie z </w:t>
      </w:r>
      <w:proofErr w:type="spellStart"/>
      <w:r w:rsidRPr="00F0674D">
        <w:rPr>
          <w:rFonts w:ascii="MyriadPro-Cond" w:hAnsi="MyriadPro-Cond" w:cs="MyriadPro-Cond"/>
        </w:rPr>
        <w:t>metotreksatem</w:t>
      </w:r>
      <w:proofErr w:type="spellEnd"/>
      <w:r w:rsidRPr="00F0674D">
        <w:rPr>
          <w:rFonts w:ascii="MyriadPro-Cond" w:hAnsi="MyriadPro-Cond" w:cs="MyriadPro-Cond"/>
        </w:rPr>
        <w:t xml:space="preserve"> w dawkach 15 mg tygodniowo lub większych, ze względu na </w:t>
      </w:r>
      <w:proofErr w:type="spellStart"/>
      <w:r w:rsidRPr="00F0674D">
        <w:rPr>
          <w:rFonts w:ascii="MyriadPro-Cond" w:hAnsi="MyriadPro-Cond" w:cs="MyriadPro-Cond"/>
        </w:rPr>
        <w:t>mielotoksyczność</w:t>
      </w:r>
      <w:proofErr w:type="spellEnd"/>
      <w:r w:rsidRPr="00F0674D">
        <w:rPr>
          <w:rFonts w:ascii="MyriadPro-Cond" w:hAnsi="MyriadPro-Cond" w:cs="MyriadPro-Cond"/>
        </w:rPr>
        <w:t>; u dzieci i młodzieży w wieku</w:t>
      </w:r>
      <w:r>
        <w:rPr>
          <w:rFonts w:ascii="MyriadPro-Cond" w:hAnsi="MyriadPro-Cond" w:cs="MyriadPro-Cond"/>
        </w:rPr>
        <w:t xml:space="preserve"> </w:t>
      </w:r>
      <w:r w:rsidRPr="00F0674D">
        <w:rPr>
          <w:rFonts w:ascii="MyriadPro-Cond" w:hAnsi="MyriadPro-Cond" w:cs="MyriadPro-Cond"/>
        </w:rPr>
        <w:t xml:space="preserve">poniżej 16 lat, zwłaszcza w przebiegu infekcji wirusowych, ze względu na ryzyko wystąpienia zespołu </w:t>
      </w:r>
      <w:proofErr w:type="spellStart"/>
      <w:r w:rsidRPr="00F0674D">
        <w:rPr>
          <w:rFonts w:ascii="MyriadPro-Cond" w:hAnsi="MyriadPro-Cond" w:cs="MyriadPro-Cond"/>
        </w:rPr>
        <w:t>Reye’a</w:t>
      </w:r>
      <w:proofErr w:type="spellEnd"/>
      <w:r w:rsidRPr="00F0674D">
        <w:rPr>
          <w:rFonts w:ascii="MyriadPro-Cond" w:hAnsi="MyriadPro-Cond" w:cs="MyriadPro-Cond"/>
        </w:rPr>
        <w:t xml:space="preserve">; ostatni trymestr ciąży i okres karmienia piersią. </w:t>
      </w:r>
      <w:r w:rsidRPr="00F0674D">
        <w:rPr>
          <w:rFonts w:ascii="MyriadPro-BlackCond" w:hAnsi="MyriadPro-BlackCond" w:cs="MyriadPro-BlackCond"/>
          <w:b/>
          <w:bCs/>
        </w:rPr>
        <w:t>PODMIOT ODPOWIEDZIALNY:</w:t>
      </w:r>
      <w:r>
        <w:rPr>
          <w:rFonts w:ascii="MyriadPro-BlackCond" w:hAnsi="MyriadPro-BlackCond" w:cs="MyriadPro-BlackCond"/>
        </w:rPr>
        <w:t xml:space="preserve"> </w:t>
      </w:r>
      <w:r w:rsidRPr="00F0674D">
        <w:rPr>
          <w:rFonts w:ascii="MyriadPro-Cond" w:hAnsi="MyriadPro-Cond" w:cs="MyriadPro-Cond"/>
        </w:rPr>
        <w:t xml:space="preserve">Zakłady Farmaceutyczne Polpharma S.A. Dodatkowych informacji o leku udziela: Polpharma Biuro Handlowe Sp. z o.o., ul. </w:t>
      </w:r>
      <w:proofErr w:type="spellStart"/>
      <w:r w:rsidRPr="00F0674D">
        <w:rPr>
          <w:rFonts w:ascii="MyriadPro-Cond" w:hAnsi="MyriadPro-Cond" w:cs="MyriadPro-Cond"/>
        </w:rPr>
        <w:t>Bobrowiecka</w:t>
      </w:r>
      <w:proofErr w:type="spellEnd"/>
      <w:r w:rsidRPr="00F0674D">
        <w:rPr>
          <w:rFonts w:ascii="MyriadPro-Cond" w:hAnsi="MyriadPro-Cond" w:cs="MyriadPro-Cond"/>
        </w:rPr>
        <w:t xml:space="preserve"> 6, 00-728 Warszawa; tel.: +48 22 364 61 00; faks: +48 22 364 61 02</w:t>
      </w:r>
    </w:p>
    <w:p w14:paraId="22B2D57B" w14:textId="77777777" w:rsidR="006A17BE" w:rsidRDefault="006A17BE" w:rsidP="00F0674D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</w:p>
    <w:p w14:paraId="41B4A16E" w14:textId="77777777" w:rsidR="006A17BE" w:rsidRPr="00F0674D" w:rsidRDefault="006A17BE" w:rsidP="00F0674D">
      <w:pPr>
        <w:autoSpaceDE w:val="0"/>
        <w:autoSpaceDN w:val="0"/>
        <w:adjustRightInd w:val="0"/>
        <w:spacing w:after="0" w:line="240" w:lineRule="auto"/>
        <w:rPr>
          <w:sz w:val="48"/>
          <w:szCs w:val="48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Reklama wizualna:</w:t>
      </w:r>
      <w:r>
        <w:rPr>
          <w:rFonts w:ascii="Arial" w:eastAsia="Times New Roman" w:hAnsi="Arial" w:cs="Arial"/>
          <w:sz w:val="20"/>
          <w:szCs w:val="20"/>
        </w:rPr>
        <w:t xml:space="preserve"> 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6A17BE" w:rsidRPr="00F06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lackCon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Con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E5"/>
    <w:rsid w:val="00220324"/>
    <w:rsid w:val="0064091E"/>
    <w:rsid w:val="006A17BE"/>
    <w:rsid w:val="007E3FB6"/>
    <w:rsid w:val="009C11E5"/>
    <w:rsid w:val="00A1611A"/>
    <w:rsid w:val="00B26B80"/>
    <w:rsid w:val="00C07D94"/>
    <w:rsid w:val="00F0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C22F"/>
  <w15:chartTrackingRefBased/>
  <w15:docId w15:val="{D176036F-5961-4792-B5C3-42B31BC7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404FB5-AE1A-4DA8-8452-DFC98A85A0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16B49-A2CE-46DD-8EBE-6A7FA3C8F5B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c795e9a5-8920-4954-9141-eaafe1e2d940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C3CB7E-2D71-46F1-9D1C-50CFD4B98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2188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Kruk-Ziemlicka Anna</dc:creator>
  <cp:keywords/>
  <dc:description/>
  <cp:lastModifiedBy>Ciuchta Małgorzata</cp:lastModifiedBy>
  <cp:revision>2</cp:revision>
  <dcterms:created xsi:type="dcterms:W3CDTF">2020-12-07T11:00:00Z</dcterms:created>
  <dcterms:modified xsi:type="dcterms:W3CDTF">2020-12-07T11:00:00Z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