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55DA7" w14:textId="357C6EC4" w:rsidR="00DA2C56" w:rsidRDefault="00DA2C56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22887" wp14:editId="3E8A942D">
                <wp:simplePos x="0" y="0"/>
                <wp:positionH relativeFrom="column">
                  <wp:posOffset>-9525</wp:posOffset>
                </wp:positionH>
                <wp:positionV relativeFrom="paragraph">
                  <wp:posOffset>2847975</wp:posOffset>
                </wp:positionV>
                <wp:extent cx="65722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81DF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4.25pt" to="516.75pt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AE78F5">
        <w:rPr>
          <w:rFonts w:ascii="Arial" w:eastAsia="Times New Roman" w:hAnsi="Arial" w:cs="Arial"/>
          <w:b/>
          <w:bCs/>
          <w:sz w:val="20"/>
          <w:szCs w:val="20"/>
        </w:rPr>
        <w:t>Acard.</w:t>
      </w:r>
      <w:r w:rsidR="00AE78F5">
        <w:rPr>
          <w:rFonts w:ascii="Arial" w:eastAsia="Times New Roman" w:hAnsi="Arial" w:cs="Arial"/>
          <w:sz w:val="20"/>
          <w:szCs w:val="20"/>
        </w:rPr>
        <w:t xml:space="preserve"> </w:t>
      </w:r>
      <w:r w:rsidR="00AE78F5"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 w:rsidR="00AE78F5">
        <w:rPr>
          <w:rFonts w:ascii="Arial" w:eastAsia="Times New Roman" w:hAnsi="Arial" w:cs="Arial"/>
          <w:sz w:val="20"/>
          <w:szCs w:val="20"/>
        </w:rPr>
        <w:t xml:space="preserve"> Każda tabletka dojelitowa zawiera 75 mg kwasu acetylosalicylowego. </w:t>
      </w:r>
      <w:r w:rsidR="00AE78F5"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 w:rsidR="00AE78F5">
        <w:rPr>
          <w:rFonts w:ascii="Arial" w:eastAsia="Times New Roman" w:hAnsi="Arial" w:cs="Arial"/>
          <w:sz w:val="20"/>
          <w:szCs w:val="20"/>
        </w:rPr>
        <w:t xml:space="preserve"> Choroba niedokrwienna serca oraz wszelkie sytuacje kliniczne, w których celowe jest hamowanie agregacji płytek krwi: zapobieganie zawałowi serca u osób dużego ryzyka, świeży zawał serca lub podejrzenie świeżego zawału serca, niestabilna choroba wieńcowa, prewencja wtórna u osób po przebytym zawale serca, stan po wszczepieniu pomostów aortalno-wieńcowych, angioplastyce wieńcowej, zapobieganie napadom przejściowego niedokrwienia mózgu (TIA) i niedokrwiennego udaru mózgu u pacjentów z TIA, po przebytym udarze niedokrwiennym mózgu u pacjentów z TIA; u osób z zarostową miażdżycą tętnic obwodowych, zapobieganie zakrzepicy naczyń wieńcowych u pacjentów z mnogimi czynnikami ryzyka, zapobieganie zakrzepicy żylnej i zatorowi płuc u pacjentów długotrwale unieruchomionych, np. po dużych zabiegach chirurgicznych jako uzupełnienie innych sposobów profilaktyki. </w:t>
      </w:r>
      <w:r w:rsidR="00AE78F5"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 w:rsidR="00AE78F5">
        <w:rPr>
          <w:rFonts w:ascii="Arial" w:eastAsia="Times New Roman" w:hAnsi="Arial" w:cs="Arial"/>
          <w:sz w:val="20"/>
          <w:szCs w:val="20"/>
        </w:rPr>
        <w:t xml:space="preserve"> Produktu Acard nie należy stosować: w przypadku nadwrażliwości na substancję czynną - kwas acetylosalicylowy, inne salicylany lub którąkolwiek substancję pomocniczą leku; u pacjentów ze skazą krwotoczną; u pacjentów z czynną chorobą wrzodową żołądka i (lub) dwunastnicy; u pacjentów z ciężką niewydolnością nerek; u pacjentów z ciężką niewydolnością wątroby; u pacjentów z napadami tzw. astmy aspirynowej w wywiadzie, wywołanymi podaniem salicylanów lub substancji o podobnym działaniu, szczególnie niesteroidowych leków przeciwzapalnych; jednocześnie z </w:t>
      </w:r>
      <w:proofErr w:type="spellStart"/>
      <w:r w:rsidR="00AE78F5">
        <w:rPr>
          <w:rFonts w:ascii="Arial" w:eastAsia="Times New Roman" w:hAnsi="Arial" w:cs="Arial"/>
          <w:sz w:val="20"/>
          <w:szCs w:val="20"/>
        </w:rPr>
        <w:t>metotreksatem</w:t>
      </w:r>
      <w:proofErr w:type="spellEnd"/>
      <w:r w:rsidR="00AE78F5">
        <w:rPr>
          <w:rFonts w:ascii="Arial" w:eastAsia="Times New Roman" w:hAnsi="Arial" w:cs="Arial"/>
          <w:sz w:val="20"/>
          <w:szCs w:val="20"/>
        </w:rPr>
        <w:t xml:space="preserve"> w dawkach 15 mg na tydzień lub większych; w ostatnim trymestrze ciąży; u dzieci w wieku do 12 lat w przebiegu infekcji wirusowych ze względu na ryzyko wystąpienia zespołu </w:t>
      </w:r>
      <w:proofErr w:type="spellStart"/>
      <w:r w:rsidR="00AE78F5">
        <w:rPr>
          <w:rFonts w:ascii="Arial" w:eastAsia="Times New Roman" w:hAnsi="Arial" w:cs="Arial"/>
          <w:sz w:val="20"/>
          <w:szCs w:val="20"/>
        </w:rPr>
        <w:t>Reye’a</w:t>
      </w:r>
      <w:proofErr w:type="spellEnd"/>
      <w:r w:rsidR="00AE78F5">
        <w:rPr>
          <w:rFonts w:ascii="Arial" w:eastAsia="Times New Roman" w:hAnsi="Arial" w:cs="Arial"/>
          <w:sz w:val="20"/>
          <w:szCs w:val="20"/>
        </w:rPr>
        <w:t xml:space="preserve"> – rzadko występującej, ale ciężkiej choroby powodującej uszkodzenie wątroby i mózgu. </w:t>
      </w:r>
      <w:r w:rsidR="00AE78F5"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 w:rsidR="00AE78F5">
        <w:rPr>
          <w:rFonts w:ascii="Arial" w:eastAsia="Times New Roman" w:hAnsi="Arial" w:cs="Arial"/>
          <w:sz w:val="20"/>
          <w:szCs w:val="20"/>
        </w:rPr>
        <w:t xml:space="preserve"> Polfa Warszawa S.A. Dodatkowych informacji o leku udziela: Polpharma Biuro Handlowe Sp. z o.o., ul. </w:t>
      </w:r>
      <w:proofErr w:type="spellStart"/>
      <w:r w:rsidR="00AE78F5">
        <w:rPr>
          <w:rFonts w:ascii="Arial" w:eastAsia="Times New Roman" w:hAnsi="Arial" w:cs="Arial"/>
          <w:sz w:val="20"/>
          <w:szCs w:val="20"/>
        </w:rPr>
        <w:t>Bobrowiecka</w:t>
      </w:r>
      <w:proofErr w:type="spellEnd"/>
      <w:r w:rsidR="00AE78F5">
        <w:rPr>
          <w:rFonts w:ascii="Arial" w:eastAsia="Times New Roman" w:hAnsi="Arial" w:cs="Arial"/>
          <w:sz w:val="20"/>
          <w:szCs w:val="20"/>
        </w:rPr>
        <w:t xml:space="preserve"> 6, 00-728 Warszawa; tel.: +48 22 364 61 00; faks: +48 22 364 61 02. www.polpharma.pl.ChPL:2020.03.13. </w:t>
      </w:r>
      <w:r w:rsidR="00AE78F5">
        <w:rPr>
          <w:rFonts w:ascii="Arial" w:eastAsia="Times New Roman" w:hAnsi="Arial" w:cs="Arial"/>
          <w:sz w:val="20"/>
          <w:szCs w:val="20"/>
        </w:rPr>
        <w:br/>
      </w:r>
    </w:p>
    <w:p w14:paraId="097A150D" w14:textId="2E412735" w:rsidR="00266C1B" w:rsidRDefault="00AE78F5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p w14:paraId="1489F259" w14:textId="0B230EDC" w:rsidR="00AE78F5" w:rsidRDefault="00AE78F5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AFDCF2F" w14:textId="56021FEE" w:rsidR="00AE78F5" w:rsidRDefault="00AE78F5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F2A7A98" w14:textId="00942FB6" w:rsidR="00AE78F5" w:rsidRDefault="00AE78F5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4FF70925" wp14:editId="0FDAACB7">
            <wp:extent cx="5681484" cy="400203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rd_75mg_60_tabs_BEZ T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484" cy="400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489F3" w14:textId="693D219E" w:rsidR="00AE78F5" w:rsidRDefault="00AE78F5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93F8B6E" w14:textId="45D4DD6B" w:rsidR="00AE78F5" w:rsidRDefault="00AE78F5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23F1F46" w14:textId="1A9F8C42" w:rsidR="00AE78F5" w:rsidRDefault="00AE78F5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5D492EB" w14:textId="7715447E" w:rsidR="00AE78F5" w:rsidRDefault="00AE78F5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78BA875" w14:textId="03CA7330" w:rsidR="00AE78F5" w:rsidRDefault="00AE78F5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8B1B462" w14:textId="2461D311" w:rsidR="00AE78F5" w:rsidRDefault="00AE78F5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7EB073F" w14:textId="6E81CE15" w:rsidR="00AE78F5" w:rsidRDefault="00AE78F5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4CBDF70" w14:textId="1C477D11" w:rsidR="00AE78F5" w:rsidRDefault="00AE78F5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D95C38C" w14:textId="5DB58E04" w:rsidR="00AE78F5" w:rsidRDefault="00AE78F5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ACRD/716/05-2020 </w:t>
      </w:r>
    </w:p>
    <w:sectPr w:rsidR="00AE78F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F862D" w14:textId="77777777" w:rsidR="004D3B1F" w:rsidRDefault="004D3B1F" w:rsidP="004D3B1F">
      <w:r>
        <w:separator/>
      </w:r>
    </w:p>
  </w:endnote>
  <w:endnote w:type="continuationSeparator" w:id="0">
    <w:p w14:paraId="54F6D9A7" w14:textId="77777777" w:rsidR="004D3B1F" w:rsidRDefault="004D3B1F" w:rsidP="004D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9BA22" w14:textId="48466777" w:rsidR="004D3B1F" w:rsidRDefault="004D3B1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FC2349" wp14:editId="3747ACD5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3" name="MSIPCM6f6a49c097fbb073fc0da75b" descr="{&quot;HashCode&quot;:-127615602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2A4FC9" w14:textId="2624D5FA" w:rsidR="004D3B1F" w:rsidRPr="004D3B1F" w:rsidRDefault="004D3B1F" w:rsidP="004D3B1F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D3B1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Polpharma Biuro Handlowe Sp. z o.o.; Medana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FC2349" id="_x0000_t202" coordsize="21600,21600" o:spt="202" path="m,l,21600r21600,l21600,xe">
              <v:stroke joinstyle="miter"/>
              <v:path gradientshapeok="t" o:connecttype="rect"/>
            </v:shapetype>
            <v:shape id="MSIPCM6f6a49c097fbb073fc0da75b" o:spid="_x0000_s1026" type="#_x0000_t202" alt="{&quot;HashCode&quot;:-1276156026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" o:allowincell="f" filled="f" stroked="f" strokeweight=".5pt">
              <v:fill o:detectmouseclick="t"/>
              <v:textbox inset="20pt,0,,0">
                <w:txbxContent>
                  <w:p w14:paraId="062A4FC9" w14:textId="2624D5FA" w:rsidR="004D3B1F" w:rsidRPr="004D3B1F" w:rsidRDefault="004D3B1F" w:rsidP="004D3B1F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D3B1F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Polpharma Biuro Handlowe Sp. z o.o.; Medana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B7FF9" w14:textId="77777777" w:rsidR="004D3B1F" w:rsidRDefault="004D3B1F" w:rsidP="004D3B1F">
      <w:r>
        <w:separator/>
      </w:r>
    </w:p>
  </w:footnote>
  <w:footnote w:type="continuationSeparator" w:id="0">
    <w:p w14:paraId="33CBD520" w14:textId="77777777" w:rsidR="004D3B1F" w:rsidRDefault="004D3B1F" w:rsidP="004D3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56"/>
    <w:rsid w:val="00266C1B"/>
    <w:rsid w:val="004D3B1F"/>
    <w:rsid w:val="00AE78F5"/>
    <w:rsid w:val="00DA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BC51CF"/>
  <w15:chartTrackingRefBased/>
  <w15:docId w15:val="{1004B6FD-E072-417D-BEED-C9C4F5B3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D3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B1F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D3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B1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1B6D-D2E2-4A9D-AAFD-48F94897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2083</Characters>
  <Application>Microsoft Office Word</Application>
  <DocSecurity>4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Aksan-Kruczek Emilia</dc:creator>
  <cp:keywords/>
  <dc:description/>
  <cp:lastModifiedBy>Ciuchta Małgorzata</cp:lastModifiedBy>
  <cp:revision>2</cp:revision>
  <dcterms:created xsi:type="dcterms:W3CDTF">2021-02-08T14:12:00Z</dcterms:created>
  <dcterms:modified xsi:type="dcterms:W3CDTF">2021-02-08T14:12:00Z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2021-02-08T14:12:40Z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5f783789-586b-4fcd-a533-9abf9e7fe492</vt:lpwstr>
  </property>
  <property fmtid="{D5CDD505-2E9C-101B-9397-08002B2CF9AE}" pid="8" name="MSIP_Label_8fbf575c-36da-44f7-a26b-6804f2bce3ff_ContentBits">
    <vt:lpwstr>2</vt:lpwstr>
  </property>
</Properties>
</file>