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92279" w14:textId="743A9711" w:rsidR="00CD4C6C" w:rsidRDefault="00CD4C6C" w:rsidP="00CD4C6C">
      <w:pPr>
        <w:jc w:val="both"/>
        <w:rPr>
          <w:rFonts w:ascii="Calibri" w:eastAsia="Times New Roman" w:hAnsi="Calibri" w:cs="Arial"/>
          <w:b/>
          <w:sz w:val="28"/>
          <w:szCs w:val="28"/>
        </w:rPr>
      </w:pPr>
      <w:r>
        <w:rPr>
          <w:rFonts w:ascii="Calibri" w:eastAsia="Times New Roman" w:hAnsi="Calibri" w:cs="Arial"/>
          <w:b/>
          <w:sz w:val="28"/>
          <w:szCs w:val="28"/>
        </w:rPr>
        <w:t>Pierwszy i jedyny lek OTC z witaminą D w dawce 2000 IU w postaci kapsułek.</w:t>
      </w:r>
      <w:r w:rsidR="00037569">
        <w:rPr>
          <w:rFonts w:ascii="Calibri" w:eastAsia="Times New Roman" w:hAnsi="Calibri" w:cs="Arial"/>
          <w:b/>
          <w:sz w:val="28"/>
          <w:szCs w:val="28"/>
        </w:rPr>
        <w:t>*</w:t>
      </w:r>
    </w:p>
    <w:p w14:paraId="178C3FEB" w14:textId="77777777" w:rsidR="00CD4C6C" w:rsidRDefault="00CD4C6C" w:rsidP="00CD4C6C">
      <w:pPr>
        <w:jc w:val="both"/>
        <w:rPr>
          <w:rFonts w:ascii="Calibri" w:eastAsia="Times New Roman" w:hAnsi="Calibri" w:cs="Arial"/>
          <w:b/>
          <w:sz w:val="20"/>
          <w:szCs w:val="20"/>
        </w:rPr>
      </w:pPr>
    </w:p>
    <w:p w14:paraId="7A7CEA8B" w14:textId="77777777" w:rsidR="00CD4C6C" w:rsidRDefault="00CD4C6C" w:rsidP="00CD4C6C">
      <w:pPr>
        <w:jc w:val="both"/>
        <w:rPr>
          <w:rFonts w:ascii="Calibri" w:eastAsia="Times New Roman" w:hAnsi="Calibri" w:cs="Arial"/>
          <w:b/>
          <w:sz w:val="20"/>
          <w:szCs w:val="20"/>
        </w:rPr>
      </w:pPr>
    </w:p>
    <w:p w14:paraId="253EBDF9" w14:textId="77777777" w:rsidR="00CD4C6C" w:rsidRDefault="00CD4C6C" w:rsidP="00CD4C6C">
      <w:pPr>
        <w:jc w:val="both"/>
        <w:rPr>
          <w:rFonts w:ascii="Calibri" w:eastAsia="Times New Roman" w:hAnsi="Calibri" w:cs="Arial"/>
          <w:b/>
          <w:sz w:val="20"/>
          <w:szCs w:val="20"/>
        </w:rPr>
      </w:pPr>
    </w:p>
    <w:p w14:paraId="730ACD73" w14:textId="77777777" w:rsidR="00CD4C6C" w:rsidRDefault="00CD4C6C" w:rsidP="00CD4C6C">
      <w:pPr>
        <w:jc w:val="both"/>
        <w:rPr>
          <w:rFonts w:ascii="Calibri" w:eastAsia="Times New Roman" w:hAnsi="Calibri" w:cs="Arial"/>
          <w:b/>
          <w:sz w:val="20"/>
          <w:szCs w:val="20"/>
        </w:rPr>
      </w:pPr>
      <w:r>
        <w:rPr>
          <w:rFonts w:ascii="Calibri" w:eastAsia="Times New Roman" w:hAnsi="Calibri" w:cs="Arial"/>
          <w:b/>
          <w:sz w:val="20"/>
          <w:szCs w:val="20"/>
        </w:rPr>
        <w:t>IbuvitD3 2000IU wskazany jest w:</w:t>
      </w:r>
    </w:p>
    <w:p w14:paraId="0078A65F" w14:textId="77777777" w:rsidR="00CD4C6C" w:rsidRDefault="00CD4C6C" w:rsidP="00CD4C6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r>
        <w:rPr>
          <w:rFonts w:ascii="Calibri" w:eastAsia="Times New Roman" w:hAnsi="Calibri" w:cs="Arial"/>
          <w:bCs/>
          <w:sz w:val="20"/>
          <w:szCs w:val="20"/>
          <w:lang w:eastAsia="pl-PL"/>
        </w:rPr>
        <w:t xml:space="preserve">Profilaktyce niedoboru witaminy D i stanów wynikających z niedoboru witaminy D (np. krzywica, osteomalacja) u dorosłych z prawidłową masą ciała oraz dzieci i młodzieży z prawidłową masą ciała w wieku 11 lat i powyżej. </w:t>
      </w:r>
    </w:p>
    <w:p w14:paraId="2F934C13" w14:textId="77777777" w:rsidR="00CD4C6C" w:rsidRDefault="00CD4C6C" w:rsidP="00CD4C6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r>
        <w:rPr>
          <w:rFonts w:ascii="Calibri" w:eastAsia="Times New Roman" w:hAnsi="Calibri" w:cs="Arial"/>
          <w:bCs/>
          <w:sz w:val="20"/>
          <w:szCs w:val="20"/>
          <w:lang w:eastAsia="pl-PL"/>
        </w:rPr>
        <w:t xml:space="preserve">Leczeniu wspomagający w osteoporozie u dorosłych. </w:t>
      </w:r>
    </w:p>
    <w:p w14:paraId="40DA4C45" w14:textId="77777777" w:rsidR="00CD4C6C" w:rsidRDefault="00CD4C6C" w:rsidP="00CD4C6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r>
        <w:rPr>
          <w:rFonts w:ascii="Calibri" w:eastAsia="Times New Roman" w:hAnsi="Calibri" w:cs="Arial"/>
          <w:bCs/>
          <w:sz w:val="20"/>
          <w:szCs w:val="20"/>
          <w:lang w:eastAsia="pl-PL"/>
        </w:rPr>
        <w:t>Profilaktyce niedoboru witaminy D u kobiet planujących ciążę, w ciąży i karmiących piersią, w porozumieniu z lekarzem</w:t>
      </w:r>
    </w:p>
    <w:p w14:paraId="34CB296D" w14:textId="77777777" w:rsidR="00CD4C6C" w:rsidRDefault="00CD4C6C" w:rsidP="00CD4C6C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4E60820E" w14:textId="77777777" w:rsidR="00CD4C6C" w:rsidRDefault="00CD4C6C" w:rsidP="00CD4C6C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6D396990" w14:textId="77777777" w:rsidR="00CD4C6C" w:rsidRDefault="00CD4C6C" w:rsidP="00CD4C6C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6733D1DE" w14:textId="77777777" w:rsidR="00037569" w:rsidRDefault="007F7A92" w:rsidP="00CD4C6C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Ibuvit D3 2000 IU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Skład i postać:</w:t>
      </w:r>
      <w:r>
        <w:rPr>
          <w:rFonts w:ascii="Arial" w:eastAsia="Times New Roman" w:hAnsi="Arial" w:cs="Arial"/>
          <w:sz w:val="20"/>
          <w:szCs w:val="20"/>
        </w:rPr>
        <w:t xml:space="preserve"> 1 kapsułka zawiera 50 mikrogramów (2000 IU) cholekalcyferolu (witaminy D3). </w:t>
      </w:r>
      <w:r>
        <w:rPr>
          <w:rFonts w:ascii="Arial" w:eastAsia="Times New Roman" w:hAnsi="Arial" w:cs="Arial"/>
          <w:b/>
          <w:bCs/>
          <w:sz w:val="20"/>
          <w:szCs w:val="20"/>
        </w:rPr>
        <w:t>Wskazania:</w:t>
      </w:r>
      <w:r>
        <w:rPr>
          <w:rFonts w:ascii="Arial" w:eastAsia="Times New Roman" w:hAnsi="Arial" w:cs="Arial"/>
          <w:sz w:val="20"/>
          <w:szCs w:val="20"/>
        </w:rPr>
        <w:t xml:space="preserve"> Profilaktyka niedoboru witaminy D i stanów wynikających z niedoboru witaminy D (np. krzywica, osteomalacja) u dorosłych z prawidłową masą ciała oraz dzieci i młodzieży z prawidłową masą ciała w wieku 11 lat i powyżej. Leczenie wspomagające w osteoporozie u dorosłych. Profilaktyka niedoboru witaminy D u kobiet planujących ciążę, w ciąży i karmiących piersią, w porozumieniu z lekarzem. </w:t>
      </w:r>
      <w:r>
        <w:rPr>
          <w:rFonts w:ascii="Arial" w:eastAsia="Times New Roman" w:hAnsi="Arial" w:cs="Arial"/>
          <w:b/>
          <w:bCs/>
          <w:sz w:val="20"/>
          <w:szCs w:val="20"/>
        </w:rPr>
        <w:t>Przeciwwskazania:</w:t>
      </w:r>
      <w:r>
        <w:rPr>
          <w:rFonts w:ascii="Arial" w:eastAsia="Times New Roman" w:hAnsi="Arial" w:cs="Arial"/>
          <w:sz w:val="20"/>
          <w:szCs w:val="20"/>
        </w:rPr>
        <w:t xml:space="preserve"> Nadwrażliwość na substancję czynną lub na którąkolwiek substancję pomocniczą. Hiperkalcemia i (lub) hiperkalciuria. Kamica nerkowa i (lub) nefrokalcynoza. Ciężka niewydolność nerek. Hiperwitaminoza D. Dzieci w wieku poniżej 11 lat. </w:t>
      </w:r>
      <w:r>
        <w:rPr>
          <w:rFonts w:ascii="Arial" w:eastAsia="Times New Roman" w:hAnsi="Arial" w:cs="Arial"/>
          <w:b/>
          <w:bCs/>
          <w:sz w:val="20"/>
          <w:szCs w:val="20"/>
        </w:rPr>
        <w:t>Podmiot odpowiedzialny:</w:t>
      </w:r>
      <w:r>
        <w:rPr>
          <w:rFonts w:ascii="Arial" w:eastAsia="Times New Roman" w:hAnsi="Arial" w:cs="Arial"/>
          <w:sz w:val="20"/>
          <w:szCs w:val="20"/>
        </w:rPr>
        <w:t xml:space="preserve"> Zakłady Farmaceutyczne Polpharma S.A. Pozwolenie na dopuszczenie do obrotu nr: 25921 wydane przez MZ. Lek wydawany bez recepty. ChPL: 25.06.2020 r. </w:t>
      </w:r>
      <w:r>
        <w:rPr>
          <w:rFonts w:ascii="Arial" w:eastAsia="Times New Roman" w:hAnsi="Arial" w:cs="Arial"/>
          <w:sz w:val="20"/>
          <w:szCs w:val="20"/>
        </w:rPr>
        <w:br/>
      </w:r>
    </w:p>
    <w:p w14:paraId="4A072FAD" w14:textId="77777777" w:rsidR="00037569" w:rsidRDefault="00037569" w:rsidP="00037569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* </w:t>
      </w:r>
      <w:r w:rsidRPr="005E03BA">
        <w:rPr>
          <w:rFonts w:ascii="Arial" w:eastAsia="Times New Roman" w:hAnsi="Arial" w:cs="Arial"/>
          <w:sz w:val="20"/>
          <w:szCs w:val="20"/>
        </w:rPr>
        <w:t>Na podstawie ChPL produktów leczniczych ujawnionych w Rejestrze Produktów Leczniczych na dzień 2 sierpnia 2021 roku</w:t>
      </w:r>
    </w:p>
    <w:p w14:paraId="2307F7B6" w14:textId="198D9257" w:rsidR="00CD4C6C" w:rsidRDefault="007F7A92" w:rsidP="00CD4C6C">
      <w:pPr>
        <w:rPr>
          <w:rFonts w:eastAsiaTheme="minorHAnsi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 w:rsidR="00CD4C6C">
        <w:rPr>
          <w:rFonts w:ascii="Segoe UI" w:hAnsi="Segoe UI" w:cs="Segoe UI"/>
          <w:color w:val="444444"/>
          <w:sz w:val="20"/>
          <w:szCs w:val="20"/>
        </w:rPr>
        <w:t>IBUVIT/183/05-2021</w:t>
      </w:r>
    </w:p>
    <w:p w14:paraId="03B6CA2D" w14:textId="77777777" w:rsidR="00CD4C6C" w:rsidRDefault="00CD4C6C" w:rsidP="00CD4C6C">
      <w:pPr>
        <w:jc w:val="both"/>
        <w:rPr>
          <w:rFonts w:ascii="Calibri" w:eastAsia="Times New Roman" w:hAnsi="Calibri" w:cs="Arial"/>
          <w:sz w:val="20"/>
          <w:szCs w:val="20"/>
        </w:rPr>
      </w:pPr>
      <w:r>
        <w:rPr>
          <w:sz w:val="20"/>
          <w:szCs w:val="20"/>
        </w:rPr>
        <w:t>------------------------------------------------------------</w:t>
      </w:r>
    </w:p>
    <w:p w14:paraId="1676D7A6" w14:textId="77777777" w:rsidR="00CD4C6C" w:rsidRDefault="00CD4C6C" w:rsidP="00CD4C6C">
      <w:pPr>
        <w:shd w:val="clear" w:color="auto" w:fill="FFFFFF"/>
        <w:jc w:val="both"/>
        <w:rPr>
          <w:rFonts w:ascii="Calibri" w:eastAsia="Times New Roman" w:hAnsi="Calibri" w:cs="Arial"/>
          <w:bCs/>
          <w:color w:val="000000"/>
          <w:spacing w:val="-5"/>
          <w:sz w:val="20"/>
          <w:szCs w:val="20"/>
        </w:rPr>
      </w:pPr>
      <w:r>
        <w:rPr>
          <w:rFonts w:ascii="Calibri" w:eastAsia="Times New Roman" w:hAnsi="Calibri" w:cs="Arial"/>
          <w:bCs/>
          <w:color w:val="000000"/>
          <w:spacing w:val="-5"/>
          <w:sz w:val="20"/>
          <w:szCs w:val="20"/>
        </w:rPr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</w:p>
    <w:p w14:paraId="683BB0BA" w14:textId="77777777" w:rsidR="00CD4C6C" w:rsidRDefault="00CD4C6C" w:rsidP="00CD4C6C">
      <w:pPr>
        <w:shd w:val="clear" w:color="auto" w:fill="FFFFFF"/>
        <w:jc w:val="both"/>
        <w:rPr>
          <w:rFonts w:ascii="Calibri" w:eastAsia="Times New Roman" w:hAnsi="Calibri" w:cs="Arial"/>
          <w:bCs/>
          <w:color w:val="000000"/>
          <w:spacing w:val="-5"/>
          <w:sz w:val="20"/>
          <w:szCs w:val="20"/>
        </w:rPr>
      </w:pPr>
    </w:p>
    <w:p w14:paraId="7ED63E9F" w14:textId="54F7BCF7" w:rsidR="007F7A92" w:rsidRDefault="007F7A92" w:rsidP="00490CF4">
      <w:pPr>
        <w:rPr>
          <w:rFonts w:ascii="Arial" w:eastAsia="Times New Roman" w:hAnsi="Arial" w:cs="Arial"/>
          <w:sz w:val="20"/>
          <w:szCs w:val="20"/>
        </w:rPr>
      </w:pPr>
    </w:p>
    <w:sectPr w:rsidR="007F7A92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387DC" w14:textId="77777777" w:rsidR="00F20465" w:rsidRDefault="00F20465" w:rsidP="00490CF4">
      <w:r>
        <w:separator/>
      </w:r>
    </w:p>
  </w:endnote>
  <w:endnote w:type="continuationSeparator" w:id="0">
    <w:p w14:paraId="04872418" w14:textId="77777777" w:rsidR="00F20465" w:rsidRDefault="00F20465" w:rsidP="0049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DD9BD" w14:textId="6AB3CC87" w:rsidR="00490CF4" w:rsidRDefault="00490CF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BA4185" wp14:editId="60BA35A5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b9bb4b80b6ab189e53ac0fa7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CBBE920" w14:textId="78D4E831" w:rsidR="00490CF4" w:rsidRPr="00467D47" w:rsidRDefault="00467D47" w:rsidP="00467D47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467D47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BA4185" id="_x0000_t202" coordsize="21600,21600" o:spt="202" path="m,l,21600r21600,l21600,xe">
              <v:stroke joinstyle="miter"/>
              <v:path gradientshapeok="t" o:connecttype="rect"/>
            </v:shapetype>
            <v:shape id="MSIPCMb9bb4b80b6ab189e53ac0fa7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" o:allowincell="f" filled="f" stroked="f" strokeweight=".5pt">
              <v:textbox inset="20pt,0,,0">
                <w:txbxContent>
                  <w:p w14:paraId="0CBBE920" w14:textId="78D4E831" w:rsidR="00490CF4" w:rsidRPr="00467D47" w:rsidRDefault="00467D47" w:rsidP="00467D47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467D47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54DA6" w14:textId="77777777" w:rsidR="00F20465" w:rsidRDefault="00F20465" w:rsidP="00490CF4">
      <w:r>
        <w:separator/>
      </w:r>
    </w:p>
  </w:footnote>
  <w:footnote w:type="continuationSeparator" w:id="0">
    <w:p w14:paraId="7DE4A144" w14:textId="77777777" w:rsidR="00F20465" w:rsidRDefault="00F20465" w:rsidP="00490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E08BE"/>
    <w:multiLevelType w:val="hybridMultilevel"/>
    <w:tmpl w:val="21AC2C8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A8B"/>
    <w:rsid w:val="00037569"/>
    <w:rsid w:val="00467D47"/>
    <w:rsid w:val="00490CF4"/>
    <w:rsid w:val="007F7A92"/>
    <w:rsid w:val="009E1A8B"/>
    <w:rsid w:val="00CD4C6C"/>
    <w:rsid w:val="00E45F3E"/>
    <w:rsid w:val="00F2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AAB871"/>
  <w15:chartTrackingRefBased/>
  <w15:docId w15:val="{DC9B3E59-B41B-4DFB-8E8A-D6DB2E01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490C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0CF4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90C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0CF4"/>
    <w:rPr>
      <w:rFonts w:eastAsiaTheme="minorEastAsia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4C6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4C6C"/>
    <w:rPr>
      <w:rFonts w:asciiTheme="minorHAnsi" w:eastAsiaTheme="minorHAnsi" w:hAnsiTheme="minorHAnsi" w:cstheme="minorBidi"/>
      <w:lang w:eastAsia="en-US"/>
    </w:rPr>
  </w:style>
  <w:style w:type="paragraph" w:styleId="Akapitzlist">
    <w:name w:val="List Paragraph"/>
    <w:basedOn w:val="Normalny"/>
    <w:uiPriority w:val="34"/>
    <w:qFormat/>
    <w:rsid w:val="00CD4C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4C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030069-3C00-4484-8A9C-5E7216695B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ABE8F7-5061-4F58-AA04-3293F36E54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B99FF4-35A0-4B51-ACDC-951388D58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Wicher-Supińska Eliza</dc:creator>
  <cp:keywords/>
  <dc:description/>
  <cp:lastModifiedBy>Wicher-Supińska Eliza</cp:lastModifiedBy>
  <cp:revision>4</cp:revision>
  <dcterms:created xsi:type="dcterms:W3CDTF">2021-05-24T12:12:00Z</dcterms:created>
  <dcterms:modified xsi:type="dcterms:W3CDTF">2021-09-03T10:32:00Z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2021-09-03T10:32:48Z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487e3bb6-dd63-4691-8d42-d3a03434d942</vt:lpwstr>
  </property>
  <property fmtid="{D5CDD505-2E9C-101B-9397-08002B2CF9AE}" pid="9" name="MSIP_Label_8fbf575c-36da-44f7-a26b-6804f2bce3ff_ContentBits">
    <vt:lpwstr>2</vt:lpwstr>
  </property>
</Properties>
</file>