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112" w14:textId="3F61F735" w:rsidR="003E52EE" w:rsidRDefault="007F7A92" w:rsidP="003E52EE">
      <w:pPr>
        <w:jc w:val="both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3E52EE">
        <w:rPr>
          <w:rFonts w:ascii="Calibri" w:eastAsia="Times New Roman" w:hAnsi="Calibri" w:cs="Arial"/>
          <w:b/>
          <w:sz w:val="28"/>
          <w:szCs w:val="28"/>
        </w:rPr>
        <w:t>Pierwszy i jedyny lek OTC z witaminą D w dawce 4000 IU w postaci kapsułek.</w:t>
      </w:r>
      <w:r w:rsidR="005E03BA">
        <w:rPr>
          <w:rFonts w:ascii="Calibri" w:eastAsia="Times New Roman" w:hAnsi="Calibri" w:cs="Arial"/>
          <w:b/>
          <w:sz w:val="28"/>
          <w:szCs w:val="28"/>
        </w:rPr>
        <w:t>*</w:t>
      </w:r>
    </w:p>
    <w:p w14:paraId="4A5840B6" w14:textId="685B72BC" w:rsidR="003E52EE" w:rsidRDefault="003E52EE" w:rsidP="003E52EE">
      <w:pPr>
        <w:jc w:val="both"/>
        <w:rPr>
          <w:rFonts w:ascii="Calibri" w:eastAsia="Times New Roman" w:hAnsi="Calibri" w:cs="Arial"/>
          <w:b/>
          <w:sz w:val="28"/>
          <w:szCs w:val="28"/>
        </w:rPr>
      </w:pPr>
    </w:p>
    <w:p w14:paraId="36B7540B" w14:textId="77777777" w:rsidR="003E52EE" w:rsidRDefault="003E52EE" w:rsidP="003E52EE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3220003D" w14:textId="77777777" w:rsidR="003E52EE" w:rsidRDefault="003E52EE" w:rsidP="003E52EE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IbuvitD3 4000IU wskazany jest w:</w:t>
      </w:r>
    </w:p>
    <w:p w14:paraId="10B600A0" w14:textId="77777777" w:rsidR="003E52EE" w:rsidRDefault="003E52EE" w:rsidP="003E5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Profilaktyce niedoboru witaminy D i stanów wynikających z niedoboru witaminy D (np. osteomalacja, osteoporoza) u dorosłych z otyłością [wskaźnik masy ciała (ang. body mass index, BMI) ≥ 30].</w:t>
      </w:r>
    </w:p>
    <w:p w14:paraId="3142B326" w14:textId="77777777" w:rsidR="003E52EE" w:rsidRDefault="003E52EE" w:rsidP="003E52EE">
      <w:pPr>
        <w:jc w:val="both"/>
        <w:rPr>
          <w:rFonts w:ascii="Calibri" w:eastAsia="Times New Roman" w:hAnsi="Calibri" w:cs="Arial"/>
          <w:bCs/>
          <w:sz w:val="20"/>
          <w:szCs w:val="20"/>
        </w:rPr>
      </w:pPr>
    </w:p>
    <w:p w14:paraId="7ED63E9F" w14:textId="174D7994" w:rsidR="007F7A92" w:rsidRDefault="00490CF4" w:rsidP="00490CF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Ibuvit D3 4000 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kapsułka zawiera 100 mikrogramów (4000 IU) cholekalcyferolu (witaminy D3)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Profilaktyka niedoboru witaminy D i stanów wynikających z niedoboru witaminy D (np. osteomalacja, osteoporoza) u dorosłych z otyłością [wskaźnik masy ciała (ang. body mass index, BMI) ≥ 30].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 wymienioną w punkcie. Hiperkalcemia i (lub) hiperkalciuria. Kamica nerkowa i (lub) nefrokalcynoza. Ciężka niewydolność nerek. Hiperwitaminoza D. Dzieci i młodzież w wieku poniżej 18 lat. Kobiety w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nr: 25922 wydane przez MZ. Lek wydawany bez recepty. ChPL: 25.06.2020 r.</w:t>
      </w:r>
    </w:p>
    <w:p w14:paraId="123DF018" w14:textId="1B8C50EC" w:rsidR="003E52EE" w:rsidRDefault="003E52EE" w:rsidP="00490CF4">
      <w:pPr>
        <w:rPr>
          <w:rFonts w:ascii="Arial" w:eastAsia="Times New Roman" w:hAnsi="Arial" w:cs="Arial"/>
          <w:sz w:val="20"/>
          <w:szCs w:val="20"/>
        </w:rPr>
      </w:pPr>
    </w:p>
    <w:p w14:paraId="71092B9F" w14:textId="673A0192" w:rsidR="005E03BA" w:rsidRDefault="005E03BA" w:rsidP="00490CF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5E03BA">
        <w:rPr>
          <w:rFonts w:ascii="Arial" w:eastAsia="Times New Roman" w:hAnsi="Arial" w:cs="Arial"/>
          <w:sz w:val="20"/>
          <w:szCs w:val="20"/>
        </w:rPr>
        <w:t>Na podstawie ChPL produktów leczniczych ujawnionych w Rejestrze Produktów Leczniczych na dzień 2 sierpnia 2021 roku</w:t>
      </w:r>
    </w:p>
    <w:p w14:paraId="24781460" w14:textId="77777777" w:rsidR="005E03BA" w:rsidRDefault="005E03BA" w:rsidP="00490CF4">
      <w:pPr>
        <w:rPr>
          <w:rFonts w:ascii="Arial" w:eastAsia="Times New Roman" w:hAnsi="Arial" w:cs="Arial"/>
          <w:sz w:val="20"/>
          <w:szCs w:val="20"/>
        </w:rPr>
      </w:pPr>
    </w:p>
    <w:p w14:paraId="1C7C3DED" w14:textId="78CEFBB2" w:rsidR="003E52EE" w:rsidRDefault="003E52EE" w:rsidP="003E52EE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IBUVIT/184/05-2021</w:t>
      </w:r>
    </w:p>
    <w:p w14:paraId="41C3E6C4" w14:textId="77777777" w:rsidR="003E52EE" w:rsidRDefault="003E52EE" w:rsidP="003E52EE">
      <w:pPr>
        <w:rPr>
          <w:rFonts w:ascii="Segoe UI" w:hAnsi="Segoe UI" w:cs="Segoe UI"/>
          <w:color w:val="444444"/>
          <w:sz w:val="20"/>
          <w:szCs w:val="20"/>
        </w:rPr>
      </w:pPr>
    </w:p>
    <w:p w14:paraId="1CA0D55A" w14:textId="77777777" w:rsidR="003E52EE" w:rsidRDefault="003E52EE" w:rsidP="003E52EE">
      <w:pPr>
        <w:rPr>
          <w:rFonts w:ascii="Segoe UI" w:hAnsi="Segoe UI" w:cs="Segoe UI"/>
          <w:color w:val="444444"/>
          <w:sz w:val="20"/>
          <w:szCs w:val="20"/>
        </w:rPr>
      </w:pPr>
    </w:p>
    <w:p w14:paraId="712E91C5" w14:textId="1378CEC3" w:rsidR="003E52EE" w:rsidRDefault="003E52EE" w:rsidP="003E52EE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</w:t>
      </w:r>
    </w:p>
    <w:p w14:paraId="229B176C" w14:textId="77777777" w:rsidR="003E52EE" w:rsidRDefault="003E52EE" w:rsidP="003E52EE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2DE5098" w14:textId="77777777" w:rsidR="003E52EE" w:rsidRDefault="003E52EE" w:rsidP="003E52EE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</w:p>
    <w:p w14:paraId="15C6A034" w14:textId="77777777" w:rsidR="003E52EE" w:rsidRDefault="003E52EE" w:rsidP="003E52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AB43DD4" w14:textId="77777777" w:rsidR="003E52EE" w:rsidRDefault="003E52EE" w:rsidP="00490CF4">
      <w:pPr>
        <w:rPr>
          <w:rFonts w:ascii="Arial" w:eastAsia="Times New Roman" w:hAnsi="Arial" w:cs="Arial"/>
          <w:sz w:val="20"/>
          <w:szCs w:val="20"/>
        </w:rPr>
      </w:pPr>
    </w:p>
    <w:sectPr w:rsidR="003E52E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DF20" w14:textId="77777777" w:rsidR="00AE49FC" w:rsidRDefault="00AE49FC" w:rsidP="00490CF4">
      <w:r>
        <w:separator/>
      </w:r>
    </w:p>
  </w:endnote>
  <w:endnote w:type="continuationSeparator" w:id="0">
    <w:p w14:paraId="68A2BC5A" w14:textId="77777777" w:rsidR="00AE49FC" w:rsidRDefault="00AE49FC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N3AYI2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24E5" w14:textId="77777777" w:rsidR="00AE49FC" w:rsidRDefault="00AE49FC" w:rsidP="00490CF4">
      <w:r>
        <w:separator/>
      </w:r>
    </w:p>
  </w:footnote>
  <w:footnote w:type="continuationSeparator" w:id="0">
    <w:p w14:paraId="10E9F3E2" w14:textId="77777777" w:rsidR="00AE49FC" w:rsidRDefault="00AE49FC" w:rsidP="004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38"/>
    <w:multiLevelType w:val="hybridMultilevel"/>
    <w:tmpl w:val="2C3C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3E52EE"/>
    <w:rsid w:val="00467D47"/>
    <w:rsid w:val="00490CF4"/>
    <w:rsid w:val="005E03BA"/>
    <w:rsid w:val="007F7A92"/>
    <w:rsid w:val="009845A0"/>
    <w:rsid w:val="009E1A8B"/>
    <w:rsid w:val="00AE49FC"/>
    <w:rsid w:val="00B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2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2EE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3E5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F225B-464D-4306-838B-B5514F183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7D660-A8FE-43BA-96ED-49AF4CA66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F307B-1BB3-4402-9CF5-DEED62DD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Wicher-Supińska Eliza</cp:lastModifiedBy>
  <cp:revision>4</cp:revision>
  <dcterms:created xsi:type="dcterms:W3CDTF">2021-05-24T12:12:00Z</dcterms:created>
  <dcterms:modified xsi:type="dcterms:W3CDTF">2021-09-03T10:32:00Z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2021-09-03T10:32:20Z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487e3bb6-dd63-4691-8d42-d3a03434d942</vt:lpwstr>
  </property>
  <property fmtid="{D5CDD505-2E9C-101B-9397-08002B2CF9AE}" pid="9" name="MSIP_Label_8fbf575c-36da-44f7-a26b-6804f2bce3ff_ContentBits">
    <vt:lpwstr>2</vt:lpwstr>
  </property>
</Properties>
</file>