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A4D96" w14:textId="77777777" w:rsidR="00860F4A" w:rsidRDefault="00860F4A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15BFFEF7" w14:textId="1FB9E13B" w:rsidR="00860F4A" w:rsidRDefault="00860F4A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4DFAC59F" wp14:editId="0094AC38">
            <wp:extent cx="3509696" cy="258381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643" cy="2591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6A9EA" w14:textId="77777777" w:rsidR="00860F4A" w:rsidRDefault="00860F4A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64D0677" w14:textId="77777777" w:rsidR="00860F4A" w:rsidRDefault="00860F4A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1C5A85A6" w14:textId="77777777" w:rsidR="00860F4A" w:rsidRDefault="00860F4A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4DAF5892" w14:textId="385D5F03" w:rsidR="00C76077" w:rsidRDefault="00C76077">
      <w:pPr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Metafen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Skład i postać:</w:t>
      </w:r>
      <w:r>
        <w:rPr>
          <w:rFonts w:ascii="Arial" w:eastAsia="Times New Roman" w:hAnsi="Arial" w:cs="Arial"/>
          <w:sz w:val="20"/>
          <w:szCs w:val="20"/>
        </w:rPr>
        <w:t xml:space="preserve"> Każda tabletka zawiera 200 mg </w:t>
      </w:r>
      <w:proofErr w:type="spellStart"/>
      <w:r>
        <w:rPr>
          <w:rFonts w:ascii="Arial" w:eastAsia="Times New Roman" w:hAnsi="Arial" w:cs="Arial"/>
          <w:sz w:val="20"/>
          <w:szCs w:val="20"/>
        </w:rPr>
        <w:t>ibuprofenu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i 325 mg paracetamolu. </w:t>
      </w:r>
      <w:r>
        <w:rPr>
          <w:rFonts w:ascii="Arial" w:eastAsia="Times New Roman" w:hAnsi="Arial" w:cs="Arial"/>
          <w:b/>
          <w:bCs/>
          <w:sz w:val="20"/>
          <w:szCs w:val="20"/>
        </w:rPr>
        <w:t>Wskazania: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Metafen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działa przeciwbólowo, przeciwgorączkowo i przeciwzapalnie. Wskazania do stosowania: bóle różnego pochodzenia, w tym: bóle głowy, migrena, bóle menstruacyjne, bóle zębów, bóle mięśni, bóle kości i stawów, bóle lędźwiowo-krzyżowe, bóle pourazowe, nerwobóle; gorączka. </w:t>
      </w:r>
      <w:r>
        <w:rPr>
          <w:rFonts w:ascii="Arial" w:eastAsia="Times New Roman" w:hAnsi="Arial" w:cs="Arial"/>
          <w:b/>
          <w:bCs/>
          <w:sz w:val="20"/>
          <w:szCs w:val="20"/>
        </w:rPr>
        <w:t>Przeciwwskazania:</w:t>
      </w:r>
      <w:r>
        <w:rPr>
          <w:rFonts w:ascii="Arial" w:eastAsia="Times New Roman" w:hAnsi="Arial" w:cs="Arial"/>
          <w:sz w:val="20"/>
          <w:szCs w:val="20"/>
        </w:rPr>
        <w:t xml:space="preserve"> Nadwrażliwość na substancje czynne lub na którąkolwiek substancję pomocniczą leku. Nadwrażliwość na leki z grupy NLPZ, w tym kwas acetylosalicylowy; występowanie w wywiadzie astmy aspirynowej, obrzęku naczynioruchowego, skurczu oskrzeli, nieżytu błony śluzowej nosa lub pokrzywki, związanych z przyjmowaniem kwasu acetylosalicylowego lub innych leków z grupy NLPZ. Ciężka niewydolność nerek i (lub) wątroby. Choroba wrzodowa żołądka i (lub) dwunastnicy (czynna lub w wywiadzie); perforacja lub krwawienia, również te występujące po zastosowaniu leków z grupy NLPZ. Ciężkie nadciśnienie tętnicze. Ciężkie choroby układu sercowo-naczyniowego, tachykardia, dławica piersiowa. Ciężka niewydolność serca (klasa IV wg New York </w:t>
      </w:r>
      <w:proofErr w:type="spellStart"/>
      <w:r>
        <w:rPr>
          <w:rFonts w:ascii="Arial" w:eastAsia="Times New Roman" w:hAnsi="Arial" w:cs="Arial"/>
          <w:sz w:val="20"/>
          <w:szCs w:val="20"/>
        </w:rPr>
        <w:t>Heart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Association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(NYHA)). Ciąża i karmienie piersią. Skaza krwotoczna oraz przyjmowanie leków przeciwzakrzepowych. Zatrzymanie moczu. Wrodzony niedobór dehydrogenazy glukozo-6-fosforanowej. U dzieci w wieku poniżej 12 lat. Choroba alkoholowa. </w:t>
      </w:r>
      <w:r>
        <w:rPr>
          <w:rFonts w:ascii="Arial" w:eastAsia="Times New Roman" w:hAnsi="Arial" w:cs="Arial"/>
          <w:b/>
          <w:bCs/>
          <w:sz w:val="20"/>
          <w:szCs w:val="20"/>
        </w:rPr>
        <w:t>Podmiot odpowiedzialny:</w:t>
      </w:r>
      <w:r>
        <w:rPr>
          <w:rFonts w:ascii="Arial" w:eastAsia="Times New Roman" w:hAnsi="Arial" w:cs="Arial"/>
          <w:sz w:val="20"/>
          <w:szCs w:val="20"/>
        </w:rPr>
        <w:t xml:space="preserve"> Zakłady Farmaceutyczne Polpharma S.A. Pozwolenie na dopuszczenie do obrotu nr 11834 wydane przez MZ Lek wydawany bez recepty. </w:t>
      </w:r>
      <w:proofErr w:type="spellStart"/>
      <w:r>
        <w:rPr>
          <w:rFonts w:ascii="Arial" w:eastAsia="Times New Roman" w:hAnsi="Arial" w:cs="Arial"/>
          <w:sz w:val="20"/>
          <w:szCs w:val="20"/>
        </w:rPr>
        <w:t>ChPL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: 2021.02.19.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Reklama wizualna:</w:t>
      </w:r>
      <w:r>
        <w:rPr>
          <w:rFonts w:ascii="Arial" w:eastAsia="Times New Roman" w:hAnsi="Arial" w:cs="Arial"/>
          <w:sz w:val="20"/>
          <w:szCs w:val="20"/>
        </w:rPr>
        <w:t xml:space="preserve"> 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</w:p>
    <w:sectPr w:rsidR="00C760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29647" w14:textId="77777777" w:rsidR="002B34B4" w:rsidRDefault="002B34B4" w:rsidP="00860F4A">
      <w:r>
        <w:separator/>
      </w:r>
    </w:p>
  </w:endnote>
  <w:endnote w:type="continuationSeparator" w:id="0">
    <w:p w14:paraId="64D7B159" w14:textId="77777777" w:rsidR="002B34B4" w:rsidRDefault="002B34B4" w:rsidP="0086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F2F0E" w14:textId="77777777" w:rsidR="00860F4A" w:rsidRDefault="00860F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62BF2" w14:textId="218F4DBD" w:rsidR="00860F4A" w:rsidRDefault="00860F4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1A60EE0" wp14:editId="52D9DB9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12484acebe7bf62ad944161f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515AC4" w14:textId="1B142F9F" w:rsidR="00860F4A" w:rsidRPr="00860F4A" w:rsidRDefault="00860F4A" w:rsidP="00860F4A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860F4A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 xml:space="preserve">Wewnętrzne / </w:t>
                          </w:r>
                          <w:proofErr w:type="spellStart"/>
                          <w:r w:rsidRPr="00860F4A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Internal</w:t>
                          </w:r>
                          <w:proofErr w:type="spellEnd"/>
                          <w:r w:rsidRPr="00860F4A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 xml:space="preserve">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A60EE0" id="_x0000_t202" coordsize="21600,21600" o:spt="202" path="m,l,21600r21600,l21600,xe">
              <v:stroke joinstyle="miter"/>
              <v:path gradientshapeok="t" o:connecttype="rect"/>
            </v:shapetype>
            <v:shape id="MSIPCM12484acebe7bf62ad944161f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" o:allowincell="f" filled="f" stroked="f" strokeweight=".5pt">
              <v:textbox inset="20pt,0,,0">
                <w:txbxContent>
                  <w:p w14:paraId="00515AC4" w14:textId="1B142F9F" w:rsidR="00860F4A" w:rsidRPr="00860F4A" w:rsidRDefault="00860F4A" w:rsidP="00860F4A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860F4A">
                      <w:rPr>
                        <w:rFonts w:ascii="Calibri" w:hAnsi="Calibri" w:cs="Calibri"/>
                        <w:color w:val="000000"/>
                        <w:sz w:val="16"/>
                      </w:rPr>
                      <w:t xml:space="preserve">Wewnętrzne / </w:t>
                    </w:r>
                    <w:proofErr w:type="spellStart"/>
                    <w:r w:rsidRPr="00860F4A">
                      <w:rPr>
                        <w:rFonts w:ascii="Calibri" w:hAnsi="Calibri" w:cs="Calibri"/>
                        <w:color w:val="000000"/>
                        <w:sz w:val="16"/>
                      </w:rPr>
                      <w:t>Internal</w:t>
                    </w:r>
                    <w:proofErr w:type="spellEnd"/>
                    <w:r w:rsidRPr="00860F4A">
                      <w:rPr>
                        <w:rFonts w:ascii="Calibri" w:hAnsi="Calibri" w:cs="Calibri"/>
                        <w:color w:val="000000"/>
                        <w:sz w:val="16"/>
                      </w:rPr>
                      <w:t xml:space="preserve">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8A990" w14:textId="77777777" w:rsidR="00860F4A" w:rsidRDefault="00860F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42E58" w14:textId="77777777" w:rsidR="002B34B4" w:rsidRDefault="002B34B4" w:rsidP="00860F4A">
      <w:r>
        <w:separator/>
      </w:r>
    </w:p>
  </w:footnote>
  <w:footnote w:type="continuationSeparator" w:id="0">
    <w:p w14:paraId="1A95E1C3" w14:textId="77777777" w:rsidR="002B34B4" w:rsidRDefault="002B34B4" w:rsidP="00860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89F73" w14:textId="77777777" w:rsidR="00860F4A" w:rsidRDefault="00860F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D9BDC" w14:textId="77777777" w:rsidR="00860F4A" w:rsidRDefault="00860F4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FB8DC" w14:textId="77777777" w:rsidR="00860F4A" w:rsidRDefault="00860F4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551"/>
    <w:rsid w:val="00123FE6"/>
    <w:rsid w:val="002B34B4"/>
    <w:rsid w:val="00860F4A"/>
    <w:rsid w:val="00C51551"/>
    <w:rsid w:val="00C7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F1D20B"/>
  <w15:chartTrackingRefBased/>
  <w15:docId w15:val="{02638A51-269D-45B0-A474-61DC60B2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860F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0F4A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0F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0F4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Gebel Katarzyna</dc:creator>
  <cp:keywords/>
  <dc:description/>
  <cp:lastModifiedBy>Gebel Katarzyna</cp:lastModifiedBy>
  <cp:revision>4</cp:revision>
  <dcterms:created xsi:type="dcterms:W3CDTF">2021-09-13T08:16:00Z</dcterms:created>
  <dcterms:modified xsi:type="dcterms:W3CDTF">2021-09-22T09:49:00Z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bf575c-36da-44f7-a26b-6804f2bce3ff_Enabled">
    <vt:lpwstr>true</vt:lpwstr>
  </property>
  <property fmtid="{D5CDD505-2E9C-101B-9397-08002B2CF9AE}" pid="3" name="MSIP_Label_8fbf575c-36da-44f7-a26b-6804f2bce3ff_SetDate">
    <vt:lpwstr>2021-09-13T08:18:44Z</vt:lpwstr>
  </property>
  <property fmtid="{D5CDD505-2E9C-101B-9397-08002B2CF9AE}" pid="4" name="MSIP_Label_8fbf575c-36da-44f7-a26b-6804f2bce3ff_Method">
    <vt:lpwstr>Standard</vt:lpwstr>
  </property>
  <property fmtid="{D5CDD505-2E9C-101B-9397-08002B2CF9AE}" pid="5" name="MSIP_Label_8fbf575c-36da-44f7-a26b-6804f2bce3ff_Name">
    <vt:lpwstr>8fbf575c-36da-44f7-a26b-6804f2bce3ff</vt:lpwstr>
  </property>
  <property fmtid="{D5CDD505-2E9C-101B-9397-08002B2CF9AE}" pid="6" name="MSIP_Label_8fbf575c-36da-44f7-a26b-6804f2bce3ff_SiteId">
    <vt:lpwstr>edf3cfc4-ee60-4b92-a2cb-da2c123fc895</vt:lpwstr>
  </property>
  <property fmtid="{D5CDD505-2E9C-101B-9397-08002B2CF9AE}" pid="7" name="MSIP_Label_8fbf575c-36da-44f7-a26b-6804f2bce3ff_ActionId">
    <vt:lpwstr>8ba069af-8bc3-48a1-a376-4d609d7afd99</vt:lpwstr>
  </property>
  <property fmtid="{D5CDD505-2E9C-101B-9397-08002B2CF9AE}" pid="8" name="MSIP_Label_8fbf575c-36da-44f7-a26b-6804f2bce3ff_ContentBits">
    <vt:lpwstr>2</vt:lpwstr>
  </property>
</Properties>
</file>