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2ABA7" w14:textId="36089377" w:rsidR="009A54A8" w:rsidRDefault="009A54A8">
      <w:pPr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t>MAXGO/191/06-2022</w:t>
      </w:r>
    </w:p>
    <w:p w14:paraId="7BC299E9" w14:textId="3E7D8FD7" w:rsidR="009A54A8" w:rsidRDefault="00B87386">
      <w:pPr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B87386">
        <w:rPr>
          <w:rFonts w:asciiTheme="minorHAnsi" w:eastAsia="Times New Roman" w:hAnsiTheme="minorHAnsi" w:cstheme="minorHAnsi"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5AB8B990" wp14:editId="57481A1C">
            <wp:simplePos x="0" y="0"/>
            <wp:positionH relativeFrom="margin">
              <wp:posOffset>-158261</wp:posOffset>
            </wp:positionH>
            <wp:positionV relativeFrom="paragraph">
              <wp:posOffset>180877</wp:posOffset>
            </wp:positionV>
            <wp:extent cx="1003300" cy="2153920"/>
            <wp:effectExtent l="0" t="0" r="635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215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7E0BB0" w14:textId="2480CA93" w:rsidR="009A54A8" w:rsidRPr="00535BE2" w:rsidRDefault="001414A1">
      <w:pPr>
        <w:rPr>
          <w:rFonts w:asciiTheme="minorHAnsi" w:eastAsia="Times New Roman" w:hAnsiTheme="minorHAnsi" w:cstheme="minorHAnsi"/>
          <w:b/>
          <w:bCs/>
          <w:sz w:val="44"/>
          <w:szCs w:val="44"/>
        </w:rPr>
      </w:pPr>
      <w:r w:rsidRPr="00535BE2">
        <w:rPr>
          <w:rFonts w:asciiTheme="minorHAnsi" w:eastAsia="Times New Roman" w:hAnsiTheme="minorHAnsi" w:cstheme="minorHAnsi"/>
          <w:b/>
          <w:bCs/>
          <w:sz w:val="44"/>
          <w:szCs w:val="44"/>
        </w:rPr>
        <w:t>TADALAFIL MAXIGRA</w:t>
      </w:r>
    </w:p>
    <w:p w14:paraId="01286B24" w14:textId="32951517" w:rsidR="00B45CBF" w:rsidRPr="00535BE2" w:rsidRDefault="006C4C26">
      <w:pPr>
        <w:rPr>
          <w:rFonts w:asciiTheme="minorHAnsi" w:eastAsia="Times New Roman" w:hAnsiTheme="minorHAnsi" w:cstheme="minorHAnsi"/>
          <w:b/>
          <w:bCs/>
          <w:sz w:val="44"/>
          <w:szCs w:val="44"/>
        </w:rPr>
      </w:pPr>
      <w:r w:rsidRPr="00535BE2">
        <w:rPr>
          <w:rFonts w:asciiTheme="minorHAnsi" w:eastAsia="Times New Roman" w:hAnsiTheme="minorHAnsi" w:cstheme="minorHAnsi"/>
          <w:b/>
          <w:bCs/>
          <w:sz w:val="44"/>
          <w:szCs w:val="44"/>
        </w:rPr>
        <w:t>SWOBODA DZIAŁANIA DO 36h</w:t>
      </w:r>
    </w:p>
    <w:p w14:paraId="5DA2F241" w14:textId="29097466" w:rsidR="006C4C26" w:rsidRPr="00B87386" w:rsidRDefault="006C4C26">
      <w:pPr>
        <w:rPr>
          <w:rFonts w:asciiTheme="minorHAnsi" w:eastAsia="Times New Roman" w:hAnsiTheme="minorHAnsi" w:cstheme="minorHAnsi"/>
          <w:sz w:val="40"/>
          <w:szCs w:val="40"/>
        </w:rPr>
      </w:pPr>
    </w:p>
    <w:p w14:paraId="74D88246" w14:textId="53F37934" w:rsidR="00B45CBF" w:rsidRPr="00B87386" w:rsidRDefault="009A7F5B" w:rsidP="001414A1">
      <w:pPr>
        <w:pStyle w:val="Akapitzlist"/>
        <w:numPr>
          <w:ilvl w:val="0"/>
          <w:numId w:val="1"/>
        </w:numPr>
        <w:rPr>
          <w:rFonts w:asciiTheme="minorHAnsi" w:eastAsia="Times New Roman" w:hAnsiTheme="minorHAnsi" w:cstheme="minorHAnsi"/>
          <w:b/>
          <w:bCs/>
        </w:rPr>
      </w:pPr>
      <w:r w:rsidRPr="00B87386">
        <w:rPr>
          <w:rFonts w:asciiTheme="minorHAnsi" w:eastAsia="Times New Roman" w:hAnsiTheme="minorHAnsi" w:cstheme="minorHAnsi"/>
        </w:rPr>
        <w:t xml:space="preserve">NOWOŚĆ </w:t>
      </w:r>
      <w:r w:rsidR="00821CC0" w:rsidRPr="00B87386">
        <w:rPr>
          <w:rFonts w:asciiTheme="minorHAnsi" w:eastAsia="Times New Roman" w:hAnsiTheme="minorHAnsi" w:cstheme="minorHAnsi"/>
          <w:b/>
          <w:bCs/>
        </w:rPr>
        <w:t>BEZ RECEPTY</w:t>
      </w:r>
    </w:p>
    <w:p w14:paraId="7B9F6B65" w14:textId="45AF818C" w:rsidR="009A7F5B" w:rsidRPr="00B87386" w:rsidRDefault="009A7F5B" w:rsidP="00C5149E">
      <w:pPr>
        <w:pStyle w:val="Akapitzlist"/>
        <w:numPr>
          <w:ilvl w:val="0"/>
          <w:numId w:val="1"/>
        </w:numPr>
        <w:rPr>
          <w:rFonts w:asciiTheme="minorHAnsi" w:eastAsia="Times New Roman" w:hAnsiTheme="minorHAnsi" w:cstheme="minorHAnsi"/>
        </w:rPr>
      </w:pPr>
      <w:r w:rsidRPr="00B87386">
        <w:rPr>
          <w:rFonts w:asciiTheme="minorHAnsi" w:eastAsia="Times New Roman" w:hAnsiTheme="minorHAnsi" w:cstheme="minorHAnsi"/>
        </w:rPr>
        <w:t xml:space="preserve">ZAWIERA TADALAFIL – </w:t>
      </w:r>
      <w:r w:rsidRPr="00B87386">
        <w:rPr>
          <w:rFonts w:asciiTheme="minorHAnsi" w:eastAsia="Times New Roman" w:hAnsiTheme="minorHAnsi" w:cstheme="minorHAnsi"/>
          <w:b/>
          <w:bCs/>
        </w:rPr>
        <w:t>NAJDŁUŻEJ DZIAŁAJĄCĄ SUBSTANCJĘ N</w:t>
      </w:r>
      <w:r w:rsidR="00821CC0" w:rsidRPr="00B87386">
        <w:rPr>
          <w:rFonts w:asciiTheme="minorHAnsi" w:eastAsia="Times New Roman" w:hAnsiTheme="minorHAnsi" w:cstheme="minorHAnsi"/>
          <w:b/>
          <w:bCs/>
        </w:rPr>
        <w:t>A EREKCJĘ</w:t>
      </w:r>
      <w:r w:rsidR="00C5149E" w:rsidRPr="00B87386">
        <w:rPr>
          <w:rStyle w:val="Odwoanieprzypisudolnego"/>
          <w:rFonts w:asciiTheme="minorHAnsi" w:eastAsia="Times New Roman" w:hAnsiTheme="minorHAnsi" w:cstheme="minorHAnsi"/>
          <w:b/>
          <w:bCs/>
        </w:rPr>
        <w:footnoteReference w:id="1"/>
      </w:r>
    </w:p>
    <w:p w14:paraId="1A314160" w14:textId="6530245E" w:rsidR="00821CC0" w:rsidRPr="00B87386" w:rsidRDefault="00821CC0" w:rsidP="001414A1">
      <w:pPr>
        <w:pStyle w:val="Akapitzlist"/>
        <w:numPr>
          <w:ilvl w:val="0"/>
          <w:numId w:val="1"/>
        </w:numPr>
        <w:rPr>
          <w:rFonts w:asciiTheme="minorHAnsi" w:eastAsia="Times New Roman" w:hAnsiTheme="minorHAnsi" w:cstheme="minorHAnsi"/>
        </w:rPr>
      </w:pPr>
      <w:r w:rsidRPr="00B87386">
        <w:rPr>
          <w:rFonts w:asciiTheme="minorHAnsi" w:eastAsia="Times New Roman" w:hAnsiTheme="minorHAnsi" w:cstheme="minorHAnsi"/>
        </w:rPr>
        <w:t xml:space="preserve">DZIAŁA </w:t>
      </w:r>
      <w:r w:rsidR="001414A1" w:rsidRPr="00B87386">
        <w:rPr>
          <w:rFonts w:asciiTheme="minorHAnsi" w:eastAsia="Times New Roman" w:hAnsiTheme="minorHAnsi" w:cstheme="minorHAnsi"/>
        </w:rPr>
        <w:t>NAWET PO 16 MINUTACH</w:t>
      </w:r>
      <w:r w:rsidR="00560581" w:rsidRPr="00B87386">
        <w:rPr>
          <w:rFonts w:asciiTheme="minorHAnsi" w:eastAsia="Times New Roman" w:hAnsiTheme="minorHAnsi" w:cstheme="minorHAnsi"/>
        </w:rPr>
        <w:t xml:space="preserve">, </w:t>
      </w:r>
      <w:r w:rsidR="00560581" w:rsidRPr="00B87386">
        <w:rPr>
          <w:rFonts w:asciiTheme="minorHAnsi" w:eastAsia="Times New Roman" w:hAnsiTheme="minorHAnsi" w:cstheme="minorHAnsi"/>
          <w:b/>
          <w:bCs/>
        </w:rPr>
        <w:t>DO 36 GODZIN.</w:t>
      </w:r>
      <w:r w:rsidR="00606FAC" w:rsidRPr="00B87386">
        <w:rPr>
          <w:rStyle w:val="Odwoanieprzypisudolnego"/>
          <w:rFonts w:asciiTheme="minorHAnsi" w:eastAsia="Times New Roman" w:hAnsiTheme="minorHAnsi" w:cstheme="minorHAnsi"/>
          <w:b/>
          <w:bCs/>
        </w:rPr>
        <w:footnoteReference w:id="2"/>
      </w:r>
    </w:p>
    <w:p w14:paraId="206CB037" w14:textId="3334786D" w:rsidR="009A54A8" w:rsidRPr="00F631DD" w:rsidRDefault="009A54A8">
      <w:pPr>
        <w:rPr>
          <w:rFonts w:asciiTheme="minorHAnsi" w:eastAsia="Times New Roman" w:hAnsiTheme="minorHAnsi" w:cstheme="minorHAnsi"/>
          <w:b/>
          <w:bCs/>
          <w:sz w:val="13"/>
          <w:szCs w:val="13"/>
        </w:rPr>
      </w:pPr>
    </w:p>
    <w:p w14:paraId="7EFCB59A" w14:textId="3FCFC424" w:rsidR="009E7F51" w:rsidRPr="00F631DD" w:rsidRDefault="009E7F51">
      <w:pPr>
        <w:rPr>
          <w:rFonts w:asciiTheme="minorHAnsi" w:eastAsia="Times New Roman" w:hAnsiTheme="minorHAnsi" w:cstheme="minorHAnsi"/>
          <w:b/>
          <w:bCs/>
          <w:sz w:val="13"/>
          <w:szCs w:val="13"/>
        </w:rPr>
      </w:pPr>
    </w:p>
    <w:p w14:paraId="5D4A1087" w14:textId="77777777" w:rsidR="009E7F51" w:rsidRPr="00F631DD" w:rsidRDefault="009E7F51" w:rsidP="009E7F51">
      <w:pPr>
        <w:pStyle w:val="Tekstprzypisudolnego"/>
        <w:rPr>
          <w:sz w:val="13"/>
          <w:szCs w:val="13"/>
        </w:rPr>
      </w:pPr>
      <w:r w:rsidRPr="00F631DD">
        <w:rPr>
          <w:rStyle w:val="Odwoanieprzypisudolnego"/>
          <w:sz w:val="13"/>
          <w:szCs w:val="13"/>
        </w:rPr>
        <w:footnoteRef/>
      </w:r>
      <w:r w:rsidRPr="00F631DD">
        <w:rPr>
          <w:sz w:val="13"/>
          <w:szCs w:val="13"/>
          <w:lang w:val="en-US"/>
        </w:rPr>
        <w:t xml:space="preserve"> Evans JD, Hill SR. A comparison of the available phosphodiesterase-5 inhibitors in the treatment of erectile dysfunction: a focus on avanafil. </w:t>
      </w:r>
      <w:proofErr w:type="spellStart"/>
      <w:r w:rsidRPr="007D0DE5">
        <w:rPr>
          <w:sz w:val="13"/>
          <w:szCs w:val="13"/>
        </w:rPr>
        <w:t>Patient</w:t>
      </w:r>
      <w:proofErr w:type="spellEnd"/>
      <w:r w:rsidRPr="007D0DE5">
        <w:rPr>
          <w:sz w:val="13"/>
          <w:szCs w:val="13"/>
        </w:rPr>
        <w:t xml:space="preserve"> </w:t>
      </w:r>
      <w:proofErr w:type="spellStart"/>
      <w:r w:rsidRPr="007D0DE5">
        <w:rPr>
          <w:sz w:val="13"/>
          <w:szCs w:val="13"/>
        </w:rPr>
        <w:t>Prefer</w:t>
      </w:r>
      <w:proofErr w:type="spellEnd"/>
      <w:r w:rsidRPr="007D0DE5">
        <w:rPr>
          <w:sz w:val="13"/>
          <w:szCs w:val="13"/>
        </w:rPr>
        <w:t xml:space="preserve"> </w:t>
      </w:r>
      <w:proofErr w:type="spellStart"/>
      <w:r w:rsidRPr="007D0DE5">
        <w:rPr>
          <w:sz w:val="13"/>
          <w:szCs w:val="13"/>
        </w:rPr>
        <w:t>Adherence</w:t>
      </w:r>
      <w:proofErr w:type="spellEnd"/>
      <w:r w:rsidRPr="007D0DE5">
        <w:rPr>
          <w:sz w:val="13"/>
          <w:szCs w:val="13"/>
        </w:rPr>
        <w:t xml:space="preserve">. 2015 </w:t>
      </w:r>
      <w:proofErr w:type="spellStart"/>
      <w:r w:rsidRPr="007D0DE5">
        <w:rPr>
          <w:sz w:val="13"/>
          <w:szCs w:val="13"/>
        </w:rPr>
        <w:t>Aug</w:t>
      </w:r>
      <w:proofErr w:type="spellEnd"/>
      <w:r w:rsidRPr="007D0DE5">
        <w:rPr>
          <w:sz w:val="13"/>
          <w:szCs w:val="13"/>
        </w:rPr>
        <w:t xml:space="preserve"> 12;9:1159-64.</w:t>
      </w:r>
    </w:p>
    <w:p w14:paraId="20A461D6" w14:textId="6472DD6C" w:rsidR="009E7F51" w:rsidRPr="00F631DD" w:rsidRDefault="009E7F51" w:rsidP="009E7F51">
      <w:pPr>
        <w:rPr>
          <w:rFonts w:asciiTheme="minorHAnsi" w:eastAsia="Times New Roman" w:hAnsiTheme="minorHAnsi" w:cstheme="minorHAnsi"/>
          <w:b/>
          <w:bCs/>
          <w:sz w:val="13"/>
          <w:szCs w:val="13"/>
        </w:rPr>
      </w:pPr>
      <w:r w:rsidRPr="00F631DD">
        <w:rPr>
          <w:rStyle w:val="Odwoanieprzypisudolnego"/>
          <w:sz w:val="13"/>
          <w:szCs w:val="13"/>
        </w:rPr>
        <w:t>2</w:t>
      </w:r>
      <w:r w:rsidRPr="00F631DD">
        <w:rPr>
          <w:sz w:val="13"/>
          <w:szCs w:val="13"/>
        </w:rPr>
        <w:t xml:space="preserve"> Na podstawie </w:t>
      </w:r>
      <w:proofErr w:type="spellStart"/>
      <w:r w:rsidRPr="00F631DD">
        <w:rPr>
          <w:sz w:val="13"/>
          <w:szCs w:val="13"/>
        </w:rPr>
        <w:t>Chpl</w:t>
      </w:r>
      <w:proofErr w:type="spellEnd"/>
      <w:r w:rsidRPr="00F631DD">
        <w:rPr>
          <w:sz w:val="13"/>
          <w:szCs w:val="13"/>
        </w:rPr>
        <w:t xml:space="preserve"> </w:t>
      </w:r>
      <w:proofErr w:type="spellStart"/>
      <w:r w:rsidRPr="00F631DD">
        <w:rPr>
          <w:sz w:val="13"/>
          <w:szCs w:val="13"/>
        </w:rPr>
        <w:t>Tadalafil</w:t>
      </w:r>
      <w:proofErr w:type="spellEnd"/>
      <w:r w:rsidRPr="00F631DD">
        <w:rPr>
          <w:sz w:val="13"/>
          <w:szCs w:val="13"/>
        </w:rPr>
        <w:t xml:space="preserve"> Maxigra</w:t>
      </w:r>
    </w:p>
    <w:p w14:paraId="0C4C59E0" w14:textId="77777777" w:rsidR="009A54A8" w:rsidRPr="00F631DD" w:rsidRDefault="009A54A8" w:rsidP="009430EC">
      <w:pPr>
        <w:jc w:val="both"/>
        <w:rPr>
          <w:rFonts w:asciiTheme="minorHAnsi" w:eastAsia="Times New Roman" w:hAnsiTheme="minorHAnsi" w:cstheme="minorHAnsi"/>
          <w:b/>
          <w:bCs/>
          <w:sz w:val="16"/>
          <w:szCs w:val="16"/>
        </w:rPr>
      </w:pPr>
    </w:p>
    <w:p w14:paraId="46356538" w14:textId="77777777" w:rsidR="007D0DE5" w:rsidRDefault="00062D6D" w:rsidP="007D0DE5">
      <w:pPr>
        <w:jc w:val="both"/>
        <w:rPr>
          <w:rFonts w:asciiTheme="minorHAnsi" w:eastAsia="Times New Roman" w:hAnsiTheme="minorHAnsi" w:cstheme="minorHAnsi"/>
          <w:sz w:val="18"/>
          <w:szCs w:val="18"/>
        </w:rPr>
      </w:pPr>
      <w:proofErr w:type="spellStart"/>
      <w:r w:rsidRPr="00F631DD">
        <w:rPr>
          <w:rFonts w:asciiTheme="minorHAnsi" w:eastAsia="Times New Roman" w:hAnsiTheme="minorHAnsi" w:cstheme="minorHAnsi"/>
          <w:b/>
          <w:bCs/>
          <w:sz w:val="16"/>
          <w:szCs w:val="16"/>
        </w:rPr>
        <w:t>Tadalafil</w:t>
      </w:r>
      <w:proofErr w:type="spellEnd"/>
      <w:r w:rsidRPr="00F631DD">
        <w:rPr>
          <w:rFonts w:asciiTheme="minorHAnsi" w:eastAsia="Times New Roman" w:hAnsiTheme="minorHAnsi" w:cstheme="minorHAnsi"/>
          <w:b/>
          <w:bCs/>
          <w:sz w:val="16"/>
          <w:szCs w:val="16"/>
        </w:rPr>
        <w:t xml:space="preserve"> Maxigra</w:t>
      </w:r>
      <w:r w:rsidR="00E12DC0" w:rsidRPr="00F631DD">
        <w:rPr>
          <w:rFonts w:asciiTheme="minorHAnsi" w:eastAsia="Times New Roman" w:hAnsiTheme="minorHAnsi" w:cstheme="minorHAnsi"/>
          <w:b/>
          <w:bCs/>
          <w:sz w:val="16"/>
          <w:szCs w:val="16"/>
        </w:rPr>
        <w:t>.</w:t>
      </w:r>
      <w:r w:rsidR="00E12DC0" w:rsidRPr="00F631DD">
        <w:rPr>
          <w:rFonts w:asciiTheme="minorHAnsi" w:eastAsia="Times New Roman" w:hAnsiTheme="minorHAnsi" w:cstheme="minorHAnsi"/>
          <w:sz w:val="16"/>
          <w:szCs w:val="16"/>
        </w:rPr>
        <w:t xml:space="preserve"> </w:t>
      </w:r>
      <w:r w:rsidR="00113189" w:rsidRPr="00F631DD">
        <w:rPr>
          <w:rFonts w:asciiTheme="minorHAnsi" w:eastAsia="Times New Roman" w:hAnsiTheme="minorHAnsi" w:cstheme="minorHAnsi"/>
          <w:sz w:val="16"/>
          <w:szCs w:val="16"/>
        </w:rPr>
        <w:t xml:space="preserve"> </w:t>
      </w:r>
      <w:r w:rsidR="00E12DC0" w:rsidRPr="00F631DD">
        <w:rPr>
          <w:rFonts w:asciiTheme="minorHAnsi" w:eastAsia="Times New Roman" w:hAnsiTheme="minorHAnsi" w:cstheme="minorHAnsi"/>
          <w:b/>
          <w:bCs/>
          <w:sz w:val="16"/>
          <w:szCs w:val="16"/>
        </w:rPr>
        <w:t>Skład i postać:</w:t>
      </w:r>
      <w:r w:rsidR="00E12DC0" w:rsidRPr="00F631DD">
        <w:rPr>
          <w:rFonts w:asciiTheme="minorHAnsi" w:eastAsia="Times New Roman" w:hAnsiTheme="minorHAnsi" w:cstheme="minorHAnsi"/>
          <w:sz w:val="16"/>
          <w:szCs w:val="16"/>
        </w:rPr>
        <w:t xml:space="preserve"> </w:t>
      </w:r>
      <w:r w:rsidRPr="00F631DD">
        <w:rPr>
          <w:sz w:val="18"/>
          <w:szCs w:val="18"/>
        </w:rPr>
        <w:t xml:space="preserve">Tabletki powlekane. Każda tabletka zawiera 10 mg </w:t>
      </w:r>
      <w:proofErr w:type="spellStart"/>
      <w:r w:rsidRPr="00F631DD">
        <w:rPr>
          <w:sz w:val="18"/>
          <w:szCs w:val="18"/>
        </w:rPr>
        <w:t>tadalafilu</w:t>
      </w:r>
      <w:proofErr w:type="spellEnd"/>
      <w:r w:rsidRPr="00F631DD">
        <w:rPr>
          <w:sz w:val="18"/>
          <w:szCs w:val="18"/>
        </w:rPr>
        <w:t>. Substancja pomocnicza o znanym działaniu: laktoza jednowodna. Każda tabletka powlekana zawiera 153,8 mg laktozy jednowodnej.</w:t>
      </w:r>
      <w:r w:rsidR="00113189" w:rsidRPr="00F631DD">
        <w:rPr>
          <w:rFonts w:asciiTheme="minorHAnsi" w:eastAsia="Times New Roman" w:hAnsiTheme="minorHAnsi" w:cstheme="minorHAnsi"/>
          <w:sz w:val="16"/>
          <w:szCs w:val="16"/>
        </w:rPr>
        <w:t xml:space="preserve"> </w:t>
      </w:r>
      <w:r w:rsidR="00E12DC0" w:rsidRPr="00F631DD">
        <w:rPr>
          <w:rFonts w:asciiTheme="minorHAnsi" w:eastAsia="Times New Roman" w:hAnsiTheme="minorHAnsi" w:cstheme="minorHAnsi"/>
          <w:b/>
          <w:bCs/>
          <w:sz w:val="16"/>
          <w:szCs w:val="16"/>
        </w:rPr>
        <w:t>Wskazania:</w:t>
      </w:r>
      <w:r w:rsidR="00E12DC0" w:rsidRPr="00F631DD">
        <w:rPr>
          <w:rFonts w:asciiTheme="minorHAnsi" w:eastAsia="Times New Roman" w:hAnsiTheme="minorHAnsi" w:cstheme="minorHAnsi"/>
          <w:sz w:val="16"/>
          <w:szCs w:val="16"/>
        </w:rPr>
        <w:t xml:space="preserve"> </w:t>
      </w:r>
      <w:r w:rsidRPr="00F631DD">
        <w:rPr>
          <w:sz w:val="18"/>
          <w:szCs w:val="18"/>
        </w:rPr>
        <w:t xml:space="preserve">Leczenie zaburzeń erekcji u dorosłych mężczyzn. Aby </w:t>
      </w:r>
      <w:proofErr w:type="spellStart"/>
      <w:r w:rsidRPr="00F631DD">
        <w:rPr>
          <w:sz w:val="18"/>
          <w:szCs w:val="18"/>
        </w:rPr>
        <w:t>tadalafil</w:t>
      </w:r>
      <w:proofErr w:type="spellEnd"/>
      <w:r w:rsidRPr="00F631DD">
        <w:rPr>
          <w:sz w:val="18"/>
          <w:szCs w:val="18"/>
        </w:rPr>
        <w:t xml:space="preserve"> działał skutecznie, konieczna jest stymulacja seksualna. Produkt </w:t>
      </w:r>
      <w:proofErr w:type="spellStart"/>
      <w:r w:rsidRPr="00F631DD">
        <w:rPr>
          <w:sz w:val="18"/>
          <w:szCs w:val="18"/>
        </w:rPr>
        <w:t>Tadalafil</w:t>
      </w:r>
      <w:proofErr w:type="spellEnd"/>
      <w:r w:rsidRPr="00F631DD" w:rsidDel="008B4536">
        <w:rPr>
          <w:sz w:val="18"/>
          <w:szCs w:val="18"/>
        </w:rPr>
        <w:t xml:space="preserve"> </w:t>
      </w:r>
      <w:r w:rsidRPr="00F631DD">
        <w:rPr>
          <w:sz w:val="18"/>
          <w:szCs w:val="18"/>
        </w:rPr>
        <w:t>Maxigra nie jest przeznaczony do stosowania u kobiet.</w:t>
      </w:r>
      <w:r w:rsidR="00113189" w:rsidRPr="00F631DD">
        <w:rPr>
          <w:rFonts w:asciiTheme="minorHAnsi" w:eastAsia="Times New Roman" w:hAnsiTheme="minorHAnsi" w:cstheme="minorHAnsi"/>
          <w:sz w:val="16"/>
          <w:szCs w:val="16"/>
        </w:rPr>
        <w:t xml:space="preserve"> </w:t>
      </w:r>
      <w:r w:rsidR="00E12DC0" w:rsidRPr="00F631DD">
        <w:rPr>
          <w:rFonts w:asciiTheme="minorHAnsi" w:eastAsia="Times New Roman" w:hAnsiTheme="minorHAnsi" w:cstheme="minorHAnsi"/>
          <w:b/>
          <w:bCs/>
          <w:sz w:val="16"/>
          <w:szCs w:val="16"/>
        </w:rPr>
        <w:t>Przeciwwskazania:</w:t>
      </w:r>
      <w:r w:rsidR="00E12DC0" w:rsidRPr="00F631DD">
        <w:rPr>
          <w:rFonts w:asciiTheme="minorHAnsi" w:eastAsia="Times New Roman" w:hAnsiTheme="minorHAnsi" w:cstheme="minorHAnsi"/>
          <w:sz w:val="16"/>
          <w:szCs w:val="16"/>
        </w:rPr>
        <w:t xml:space="preserve"> </w:t>
      </w:r>
      <w:r w:rsidRPr="00F631DD">
        <w:rPr>
          <w:sz w:val="18"/>
          <w:szCs w:val="18"/>
        </w:rPr>
        <w:t xml:space="preserve">Nadwrażliwość na substancję czynną lub na którąkolwiek substancję pomocniczą leku. W badaniach klinicznych wykazano, że </w:t>
      </w:r>
      <w:proofErr w:type="spellStart"/>
      <w:r w:rsidRPr="00F631DD">
        <w:rPr>
          <w:sz w:val="18"/>
          <w:szCs w:val="18"/>
        </w:rPr>
        <w:t>tadalafil</w:t>
      </w:r>
      <w:proofErr w:type="spellEnd"/>
      <w:r w:rsidRPr="00F631DD">
        <w:rPr>
          <w:sz w:val="18"/>
          <w:szCs w:val="18"/>
        </w:rPr>
        <w:t xml:space="preserve"> nasila hipotensyjne działanie azotanów. Uważa się, że jest to wynikiem skojarzonego działania azotanów i </w:t>
      </w:r>
      <w:proofErr w:type="spellStart"/>
      <w:r w:rsidRPr="00F631DD">
        <w:rPr>
          <w:sz w:val="18"/>
          <w:szCs w:val="18"/>
        </w:rPr>
        <w:t>tadalafilu</w:t>
      </w:r>
      <w:proofErr w:type="spellEnd"/>
      <w:r w:rsidRPr="00F631DD">
        <w:rPr>
          <w:sz w:val="18"/>
          <w:szCs w:val="18"/>
        </w:rPr>
        <w:t xml:space="preserve"> na szlak tlenek azotu/</w:t>
      </w:r>
      <w:proofErr w:type="spellStart"/>
      <w:r w:rsidRPr="00F631DD">
        <w:rPr>
          <w:sz w:val="18"/>
          <w:szCs w:val="18"/>
        </w:rPr>
        <w:t>cGMP</w:t>
      </w:r>
      <w:proofErr w:type="spellEnd"/>
      <w:r w:rsidRPr="00F631DD">
        <w:rPr>
          <w:sz w:val="18"/>
          <w:szCs w:val="18"/>
        </w:rPr>
        <w:t xml:space="preserve">. Dlatego stosowanie produktu </w:t>
      </w:r>
      <w:proofErr w:type="spellStart"/>
      <w:r w:rsidRPr="00F631DD">
        <w:rPr>
          <w:sz w:val="18"/>
          <w:szCs w:val="18"/>
        </w:rPr>
        <w:t>Tadalafil</w:t>
      </w:r>
      <w:proofErr w:type="spellEnd"/>
      <w:r w:rsidRPr="00F631DD" w:rsidDel="008B4536">
        <w:rPr>
          <w:sz w:val="18"/>
          <w:szCs w:val="18"/>
        </w:rPr>
        <w:t xml:space="preserve"> </w:t>
      </w:r>
      <w:r w:rsidRPr="00F631DD">
        <w:rPr>
          <w:sz w:val="18"/>
          <w:szCs w:val="18"/>
        </w:rPr>
        <w:t xml:space="preserve">Maxigra jest przeciwwskazane u pacjentów stosujących organiczne azotany w jakiejkolwiek postaci. Nie wolno stosować produktu </w:t>
      </w:r>
      <w:proofErr w:type="spellStart"/>
      <w:r w:rsidRPr="00F631DD">
        <w:rPr>
          <w:sz w:val="18"/>
          <w:szCs w:val="18"/>
        </w:rPr>
        <w:t>Tadalafil</w:t>
      </w:r>
      <w:proofErr w:type="spellEnd"/>
      <w:r w:rsidRPr="00F631DD" w:rsidDel="008B4536">
        <w:rPr>
          <w:sz w:val="18"/>
          <w:szCs w:val="18"/>
        </w:rPr>
        <w:t xml:space="preserve"> </w:t>
      </w:r>
      <w:r w:rsidRPr="00F631DD">
        <w:rPr>
          <w:sz w:val="18"/>
          <w:szCs w:val="18"/>
        </w:rPr>
        <w:t xml:space="preserve">Maxigra u mężczyzn z chorobami serca, u których nie jest wskazana aktywność seksualna. W przypadku, gdy o zastosowaniu leczenia farmakologicznego decyduje lekarz powinien on rozważyć potencjalne ryzyko wystąpienia zaburzeń czynności serca związanych z aktywnością seksualną u pacjentów z chorobami układu sercowo-naczyniowego. Stosowanie </w:t>
      </w:r>
      <w:proofErr w:type="spellStart"/>
      <w:r w:rsidRPr="00F631DD">
        <w:rPr>
          <w:sz w:val="18"/>
          <w:szCs w:val="18"/>
        </w:rPr>
        <w:t>tadalafilu</w:t>
      </w:r>
      <w:proofErr w:type="spellEnd"/>
      <w:r w:rsidRPr="00F631DD">
        <w:rPr>
          <w:sz w:val="18"/>
          <w:szCs w:val="18"/>
        </w:rPr>
        <w:t xml:space="preserve"> jest przeciwwskazane w następujących, nie włączonych do badań klinicznych, grupach pacjentów z chorobami układu sercowo-naczyniowego: pacjenci, którzy w ciągu ostatnich 90 dni przebyli zawał mięśnia sercowego, pacjenci z niestabilną dławicą piersiową lub z bólami dławicowymi podczas stosunków płciowych, pacjenci, u których w ciągu ostatnich 6 miesięcy występowała niewydolność serca co najmniej 2 stopnia według klasyfikacji NYHA (New York </w:t>
      </w:r>
      <w:proofErr w:type="spellStart"/>
      <w:r w:rsidRPr="00F631DD">
        <w:rPr>
          <w:sz w:val="18"/>
          <w:szCs w:val="18"/>
        </w:rPr>
        <w:t>Heart</w:t>
      </w:r>
      <w:proofErr w:type="spellEnd"/>
      <w:r w:rsidRPr="00F631DD">
        <w:rPr>
          <w:sz w:val="18"/>
          <w:szCs w:val="18"/>
        </w:rPr>
        <w:t xml:space="preserve"> </w:t>
      </w:r>
      <w:proofErr w:type="spellStart"/>
      <w:r w:rsidRPr="00F631DD">
        <w:rPr>
          <w:sz w:val="18"/>
          <w:szCs w:val="18"/>
        </w:rPr>
        <w:t>Association</w:t>
      </w:r>
      <w:proofErr w:type="spellEnd"/>
      <w:r w:rsidRPr="00F631DD">
        <w:rPr>
          <w:sz w:val="18"/>
          <w:szCs w:val="18"/>
        </w:rPr>
        <w:t xml:space="preserve">), pacjenci z niekontrolowanymi arytmiami, niedociśnieniem (&lt;90/50 mm Hg) lub niekontrolowanym nadciśnieniem tętniczym, pacjenci, którzy w ciągu ostatnich 6 miesięcy przebyli udar. Produkt </w:t>
      </w:r>
      <w:proofErr w:type="spellStart"/>
      <w:r w:rsidRPr="00F631DD">
        <w:rPr>
          <w:sz w:val="18"/>
          <w:szCs w:val="18"/>
        </w:rPr>
        <w:t>Tadalafil</w:t>
      </w:r>
      <w:proofErr w:type="spellEnd"/>
      <w:r w:rsidRPr="00F631DD" w:rsidDel="008B4536">
        <w:rPr>
          <w:sz w:val="18"/>
          <w:szCs w:val="18"/>
        </w:rPr>
        <w:t xml:space="preserve"> </w:t>
      </w:r>
      <w:r w:rsidRPr="00F631DD">
        <w:rPr>
          <w:sz w:val="18"/>
          <w:szCs w:val="18"/>
        </w:rPr>
        <w:t>Maxigra jest przeciwwskazany u pacjentów, którzy utracili wzrok w jednym oku w wyniku niezwiązanej z zapaleniem tętnic przedniej niedokrwiennej neuropatii nerwu wzrokowego (ang. non-</w:t>
      </w:r>
      <w:proofErr w:type="spellStart"/>
      <w:r w:rsidRPr="00F631DD">
        <w:rPr>
          <w:sz w:val="18"/>
          <w:szCs w:val="18"/>
        </w:rPr>
        <w:t>arteritic</w:t>
      </w:r>
      <w:proofErr w:type="spellEnd"/>
      <w:r w:rsidRPr="00F631DD">
        <w:rPr>
          <w:sz w:val="18"/>
          <w:szCs w:val="18"/>
        </w:rPr>
        <w:t xml:space="preserve"> </w:t>
      </w:r>
      <w:proofErr w:type="spellStart"/>
      <w:r w:rsidRPr="00F631DD">
        <w:rPr>
          <w:sz w:val="18"/>
          <w:szCs w:val="18"/>
        </w:rPr>
        <w:t>anterior</w:t>
      </w:r>
      <w:proofErr w:type="spellEnd"/>
      <w:r w:rsidRPr="00F631DD">
        <w:rPr>
          <w:sz w:val="18"/>
          <w:szCs w:val="18"/>
        </w:rPr>
        <w:t xml:space="preserve"> </w:t>
      </w:r>
      <w:proofErr w:type="spellStart"/>
      <w:r w:rsidRPr="00F631DD">
        <w:rPr>
          <w:sz w:val="18"/>
          <w:szCs w:val="18"/>
        </w:rPr>
        <w:t>ischemic</w:t>
      </w:r>
      <w:proofErr w:type="spellEnd"/>
      <w:r w:rsidRPr="00F631DD">
        <w:rPr>
          <w:sz w:val="18"/>
          <w:szCs w:val="18"/>
        </w:rPr>
        <w:t xml:space="preserve"> </w:t>
      </w:r>
      <w:proofErr w:type="spellStart"/>
      <w:r w:rsidRPr="00F631DD">
        <w:rPr>
          <w:sz w:val="18"/>
          <w:szCs w:val="18"/>
        </w:rPr>
        <w:t>optic</w:t>
      </w:r>
      <w:proofErr w:type="spellEnd"/>
      <w:r w:rsidRPr="00F631DD">
        <w:rPr>
          <w:sz w:val="18"/>
          <w:szCs w:val="18"/>
        </w:rPr>
        <w:t xml:space="preserve"> </w:t>
      </w:r>
      <w:proofErr w:type="spellStart"/>
      <w:r w:rsidRPr="00F631DD">
        <w:rPr>
          <w:sz w:val="18"/>
          <w:szCs w:val="18"/>
        </w:rPr>
        <w:t>neuropathy</w:t>
      </w:r>
      <w:proofErr w:type="spellEnd"/>
      <w:r w:rsidRPr="00F631DD">
        <w:rPr>
          <w:sz w:val="18"/>
          <w:szCs w:val="18"/>
        </w:rPr>
        <w:t xml:space="preserve">, NAION) niezależnie od tego, czy miało to związek, czy nie miało związku z wcześniejszą ekspozycją na inhibitor PDE5. Jednoczesne stosowanie inhibitorów PDE5, w tym </w:t>
      </w:r>
      <w:proofErr w:type="spellStart"/>
      <w:r w:rsidRPr="00F631DD">
        <w:rPr>
          <w:sz w:val="18"/>
          <w:szCs w:val="18"/>
        </w:rPr>
        <w:t>tadalafilu</w:t>
      </w:r>
      <w:proofErr w:type="spellEnd"/>
      <w:r w:rsidRPr="00F631DD">
        <w:rPr>
          <w:sz w:val="18"/>
          <w:szCs w:val="18"/>
        </w:rPr>
        <w:t xml:space="preserve">, i leków pobudzających </w:t>
      </w:r>
      <w:proofErr w:type="spellStart"/>
      <w:r w:rsidRPr="00F631DD">
        <w:rPr>
          <w:sz w:val="18"/>
          <w:szCs w:val="18"/>
        </w:rPr>
        <w:t>cyklazę</w:t>
      </w:r>
      <w:proofErr w:type="spellEnd"/>
      <w:r w:rsidRPr="00F631DD">
        <w:rPr>
          <w:sz w:val="18"/>
          <w:szCs w:val="18"/>
        </w:rPr>
        <w:t xml:space="preserve"> </w:t>
      </w:r>
      <w:proofErr w:type="spellStart"/>
      <w:r w:rsidRPr="00F631DD">
        <w:rPr>
          <w:sz w:val="18"/>
          <w:szCs w:val="18"/>
        </w:rPr>
        <w:t>guanylową</w:t>
      </w:r>
      <w:proofErr w:type="spellEnd"/>
      <w:r w:rsidRPr="00F631DD">
        <w:rPr>
          <w:sz w:val="18"/>
          <w:szCs w:val="18"/>
        </w:rPr>
        <w:t xml:space="preserve">, takich jak </w:t>
      </w:r>
      <w:proofErr w:type="spellStart"/>
      <w:r w:rsidRPr="00F631DD">
        <w:rPr>
          <w:sz w:val="18"/>
          <w:szCs w:val="18"/>
        </w:rPr>
        <w:t>riocyguat</w:t>
      </w:r>
      <w:proofErr w:type="spellEnd"/>
      <w:r w:rsidRPr="00F631DD">
        <w:rPr>
          <w:sz w:val="18"/>
          <w:szCs w:val="18"/>
        </w:rPr>
        <w:t>, jest przeciwwskazane, ponieważ może prowadzić do objawowego niedociśnienia tętniczego.</w:t>
      </w:r>
      <w:r w:rsidR="00113189" w:rsidRPr="00F631DD">
        <w:rPr>
          <w:rFonts w:asciiTheme="minorHAnsi" w:eastAsia="Times New Roman" w:hAnsiTheme="minorHAnsi" w:cstheme="minorHAnsi"/>
          <w:sz w:val="18"/>
          <w:szCs w:val="18"/>
        </w:rPr>
        <w:t xml:space="preserve"> </w:t>
      </w:r>
      <w:r w:rsidR="00E12DC0" w:rsidRPr="00F631DD">
        <w:rPr>
          <w:rFonts w:asciiTheme="minorHAnsi" w:eastAsia="Times New Roman" w:hAnsiTheme="minorHAnsi" w:cstheme="minorHAnsi"/>
          <w:b/>
          <w:bCs/>
          <w:sz w:val="18"/>
          <w:szCs w:val="18"/>
        </w:rPr>
        <w:t>Podmiot odpowiedzialny:</w:t>
      </w:r>
      <w:r w:rsidR="00E12DC0" w:rsidRPr="00F631DD">
        <w:rPr>
          <w:rFonts w:asciiTheme="minorHAnsi" w:eastAsia="Times New Roman" w:hAnsiTheme="minorHAnsi" w:cstheme="minorHAnsi"/>
          <w:sz w:val="18"/>
          <w:szCs w:val="18"/>
        </w:rPr>
        <w:t xml:space="preserve"> Zakłady Farmaceutyczne Polpharma S.A. Pozwolenie na dopuszczenie do obrotu nr </w:t>
      </w:r>
      <w:r w:rsidR="00113189" w:rsidRPr="00F631DD">
        <w:rPr>
          <w:sz w:val="20"/>
          <w:szCs w:val="20"/>
        </w:rPr>
        <w:t xml:space="preserve">23996 </w:t>
      </w:r>
      <w:r w:rsidR="00E12DC0" w:rsidRPr="00F631DD">
        <w:rPr>
          <w:rFonts w:asciiTheme="minorHAnsi" w:eastAsia="Times New Roman" w:hAnsiTheme="minorHAnsi" w:cstheme="minorHAnsi"/>
          <w:sz w:val="18"/>
          <w:szCs w:val="18"/>
        </w:rPr>
        <w:t>wydane przez MZ. Lek wydawany</w:t>
      </w:r>
    </w:p>
    <w:p w14:paraId="735F98EB" w14:textId="0978E1D9" w:rsidR="00A86EFA" w:rsidRPr="007D0DE5" w:rsidRDefault="007D0DE5" w:rsidP="007D0DE5">
      <w:pPr>
        <w:rPr>
          <w:rFonts w:asciiTheme="minorHAnsi" w:eastAsia="Times New Roman" w:hAnsiTheme="minorHAnsi" w:cstheme="minorHAnsi"/>
          <w:sz w:val="18"/>
          <w:szCs w:val="18"/>
        </w:rPr>
      </w:pPr>
      <w:r>
        <w:rPr>
          <w:rFonts w:asciiTheme="minorHAnsi" w:eastAsia="Times New Roman" w:hAnsiTheme="minorHAnsi" w:cstheme="minorHAnsi"/>
          <w:sz w:val="18"/>
          <w:szCs w:val="18"/>
        </w:rPr>
        <w:t xml:space="preserve"> </w:t>
      </w:r>
      <w:r w:rsidR="00E12DC0" w:rsidRPr="00F631DD">
        <w:rPr>
          <w:rFonts w:asciiTheme="minorHAnsi" w:eastAsia="Times New Roman" w:hAnsiTheme="minorHAnsi" w:cstheme="minorHAnsi"/>
          <w:sz w:val="18"/>
          <w:szCs w:val="18"/>
        </w:rPr>
        <w:t xml:space="preserve">bez recepty. </w:t>
      </w:r>
      <w:proofErr w:type="spellStart"/>
      <w:r w:rsidR="00E12DC0" w:rsidRPr="00F631DD">
        <w:rPr>
          <w:rFonts w:asciiTheme="minorHAnsi" w:eastAsia="Times New Roman" w:hAnsiTheme="minorHAnsi" w:cstheme="minorHAnsi"/>
          <w:sz w:val="18"/>
          <w:szCs w:val="18"/>
        </w:rPr>
        <w:t>ChPL</w:t>
      </w:r>
      <w:proofErr w:type="spellEnd"/>
      <w:r w:rsidR="00E12DC0" w:rsidRPr="00F631DD">
        <w:rPr>
          <w:rFonts w:asciiTheme="minorHAnsi" w:eastAsia="Times New Roman" w:hAnsiTheme="minorHAnsi" w:cstheme="minorHAnsi"/>
          <w:sz w:val="18"/>
          <w:szCs w:val="18"/>
        </w:rPr>
        <w:t>: 202</w:t>
      </w:r>
      <w:r w:rsidR="00062D6D" w:rsidRPr="00F631DD">
        <w:rPr>
          <w:rFonts w:asciiTheme="minorHAnsi" w:eastAsia="Times New Roman" w:hAnsiTheme="minorHAnsi" w:cstheme="minorHAnsi"/>
          <w:sz w:val="18"/>
          <w:szCs w:val="18"/>
        </w:rPr>
        <w:t>2</w:t>
      </w:r>
      <w:r w:rsidR="00E12DC0" w:rsidRPr="00F631DD">
        <w:rPr>
          <w:rFonts w:asciiTheme="minorHAnsi" w:eastAsia="Times New Roman" w:hAnsiTheme="minorHAnsi" w:cstheme="minorHAnsi"/>
          <w:sz w:val="18"/>
          <w:szCs w:val="18"/>
        </w:rPr>
        <w:t>.</w:t>
      </w:r>
      <w:r w:rsidR="00062D6D" w:rsidRPr="00F631DD">
        <w:rPr>
          <w:rFonts w:asciiTheme="minorHAnsi" w:eastAsia="Times New Roman" w:hAnsiTheme="minorHAnsi" w:cstheme="minorHAnsi"/>
          <w:sz w:val="18"/>
          <w:szCs w:val="18"/>
        </w:rPr>
        <w:t>03</w:t>
      </w:r>
      <w:r w:rsidR="00E12DC0" w:rsidRPr="00F631DD">
        <w:rPr>
          <w:rFonts w:asciiTheme="minorHAnsi" w:eastAsia="Times New Roman" w:hAnsiTheme="minorHAnsi" w:cstheme="minorHAnsi"/>
          <w:sz w:val="18"/>
          <w:szCs w:val="18"/>
        </w:rPr>
        <w:t>.</w:t>
      </w:r>
      <w:r w:rsidR="00062D6D" w:rsidRPr="00F631DD">
        <w:rPr>
          <w:rFonts w:asciiTheme="minorHAnsi" w:eastAsia="Times New Roman" w:hAnsiTheme="minorHAnsi" w:cstheme="minorHAnsi"/>
          <w:sz w:val="18"/>
          <w:szCs w:val="18"/>
        </w:rPr>
        <w:t>31</w:t>
      </w:r>
      <w:r w:rsidR="00E12DC0" w:rsidRPr="00F631DD">
        <w:rPr>
          <w:rFonts w:asciiTheme="minorHAnsi" w:eastAsia="Times New Roman" w:hAnsiTheme="minorHAnsi" w:cstheme="minorHAnsi"/>
          <w:sz w:val="18"/>
          <w:szCs w:val="18"/>
        </w:rPr>
        <w:t xml:space="preserve">. </w:t>
      </w:r>
      <w:r w:rsidR="00E12DC0" w:rsidRPr="009430EC">
        <w:rPr>
          <w:rFonts w:asciiTheme="minorHAnsi" w:eastAsia="Times New Roman" w:hAnsiTheme="minorHAnsi" w:cstheme="minorHAnsi"/>
        </w:rPr>
        <w:br/>
      </w:r>
      <w:r w:rsidR="00E12DC0">
        <w:rPr>
          <w:rFonts w:asciiTheme="minorHAnsi" w:eastAsia="Times New Roman" w:hAnsiTheme="minorHAnsi" w:cstheme="minorHAnsi"/>
          <w:sz w:val="22"/>
          <w:szCs w:val="22"/>
        </w:rPr>
        <w:br/>
      </w:r>
      <w:r w:rsidR="00E12DC0" w:rsidRPr="009430EC">
        <w:rPr>
          <w:rFonts w:asciiTheme="minorHAnsi" w:eastAsia="Times New Roman" w:hAnsiTheme="minorHAnsi" w:cstheme="minorHAnsi"/>
          <w:b/>
          <w:bCs/>
          <w:sz w:val="28"/>
          <w:szCs w:val="28"/>
        </w:rPr>
        <w:t>Przed użyciem zapoznaj się z ulotką, która zawiera wskazania, przeciwwskazania, dane dotyczące działań niepożądanych i dawkowanie oraz informacje dotyczące stosowania produktu leczniczego, bądź skonsultuj się z lekarzem lub farmaceutą, gdyż każdy lek niewłaściwie stosowany zagraża Twojemu życiu lub zdrowiu.</w:t>
      </w:r>
      <w:r w:rsidR="009430EC" w:rsidRPr="009430EC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                                                                      </w:t>
      </w:r>
      <w:r w:rsidR="00E12DC0" w:rsidRPr="009430EC">
        <w:rPr>
          <w:rFonts w:asciiTheme="minorHAnsi" w:eastAsia="Times New Roman" w:hAnsiTheme="minorHAnsi" w:cstheme="minorHAnsi"/>
          <w:b/>
          <w:bCs/>
          <w:sz w:val="28"/>
          <w:szCs w:val="28"/>
        </w:rPr>
        <w:br/>
      </w:r>
      <w:r w:rsidR="00E12DC0" w:rsidRPr="009430EC">
        <w:rPr>
          <w:rFonts w:asciiTheme="minorHAnsi" w:eastAsia="Times New Roman" w:hAnsiTheme="minorHAnsi" w:cstheme="minorHAnsi"/>
          <w:b/>
          <w:bCs/>
          <w:sz w:val="28"/>
          <w:szCs w:val="28"/>
        </w:rPr>
        <w:br/>
      </w:r>
    </w:p>
    <w:sectPr w:rsidR="00A86EFA" w:rsidRPr="007D0D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B33FE" w14:textId="77777777" w:rsidR="00BB3216" w:rsidRDefault="00BB3216" w:rsidP="00C5149E">
      <w:r>
        <w:separator/>
      </w:r>
    </w:p>
  </w:endnote>
  <w:endnote w:type="continuationSeparator" w:id="0">
    <w:p w14:paraId="4B7CD8C6" w14:textId="77777777" w:rsidR="00BB3216" w:rsidRDefault="00BB3216" w:rsidP="00C51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C884B" w14:textId="77777777" w:rsidR="00BB3216" w:rsidRDefault="00BB3216" w:rsidP="00C5149E">
      <w:r>
        <w:separator/>
      </w:r>
    </w:p>
  </w:footnote>
  <w:footnote w:type="continuationSeparator" w:id="0">
    <w:p w14:paraId="187E229B" w14:textId="77777777" w:rsidR="00BB3216" w:rsidRDefault="00BB3216" w:rsidP="00C5149E">
      <w:r>
        <w:continuationSeparator/>
      </w:r>
    </w:p>
  </w:footnote>
  <w:footnote w:id="1">
    <w:p w14:paraId="276CDAC8" w14:textId="7B6AC9D2" w:rsidR="00C5149E" w:rsidRDefault="00C5149E">
      <w:pPr>
        <w:pStyle w:val="Tekstprzypisudolnego"/>
      </w:pPr>
      <w:r>
        <w:rPr>
          <w:rStyle w:val="Odwoanieprzypisudolnego"/>
        </w:rPr>
        <w:footnoteRef/>
      </w:r>
      <w:r w:rsidRPr="00BC6A3C">
        <w:rPr>
          <w:lang w:val="en-US"/>
        </w:rPr>
        <w:t xml:space="preserve"> </w:t>
      </w:r>
      <w:r w:rsidR="00BC6A3C">
        <w:rPr>
          <w:lang w:val="en-US"/>
        </w:rPr>
        <w:t>Evans JD, Hill SR. A comparison of the available phosphodiesterase-5 inhibitors in the treatment of erectile dysfunction: a focus on avanafil. Patient Prefer Adherence. 2015 Aug 12;9:1159-64.</w:t>
      </w:r>
    </w:p>
  </w:footnote>
  <w:footnote w:id="2">
    <w:p w14:paraId="02F018AC" w14:textId="3910E302" w:rsidR="00606FAC" w:rsidRDefault="00606FAC">
      <w:pPr>
        <w:pStyle w:val="Tekstprzypisudolnego"/>
      </w:pPr>
      <w:r>
        <w:rPr>
          <w:rStyle w:val="Odwoanieprzypisudolnego"/>
        </w:rPr>
        <w:footnoteRef/>
      </w:r>
      <w:r>
        <w:t xml:space="preserve"> Na podstawie </w:t>
      </w:r>
      <w:proofErr w:type="spellStart"/>
      <w:r w:rsidR="00554587">
        <w:t>Chpl</w:t>
      </w:r>
      <w:proofErr w:type="spellEnd"/>
      <w:r w:rsidR="009E7F51">
        <w:t xml:space="preserve"> </w:t>
      </w:r>
      <w:proofErr w:type="spellStart"/>
      <w:r w:rsidR="009E7F51">
        <w:t>Tadalafil</w:t>
      </w:r>
      <w:proofErr w:type="spellEnd"/>
      <w:r w:rsidR="009E7F51">
        <w:t xml:space="preserve"> Maxigra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719AC"/>
    <w:multiLevelType w:val="hybridMultilevel"/>
    <w:tmpl w:val="12687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72815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D6D"/>
    <w:rsid w:val="00062D6D"/>
    <w:rsid w:val="00113189"/>
    <w:rsid w:val="001414A1"/>
    <w:rsid w:val="00535BE2"/>
    <w:rsid w:val="00554587"/>
    <w:rsid w:val="00560581"/>
    <w:rsid w:val="00606FAC"/>
    <w:rsid w:val="006C4C26"/>
    <w:rsid w:val="007D0DE5"/>
    <w:rsid w:val="007D6C00"/>
    <w:rsid w:val="00821CC0"/>
    <w:rsid w:val="009430EC"/>
    <w:rsid w:val="009A54A8"/>
    <w:rsid w:val="009A7F5B"/>
    <w:rsid w:val="009E7F51"/>
    <w:rsid w:val="009F3F64"/>
    <w:rsid w:val="00A86EFA"/>
    <w:rsid w:val="00B45CBF"/>
    <w:rsid w:val="00B87386"/>
    <w:rsid w:val="00BB3216"/>
    <w:rsid w:val="00BC6A3C"/>
    <w:rsid w:val="00C5149E"/>
    <w:rsid w:val="00E12DC0"/>
    <w:rsid w:val="00F537E4"/>
    <w:rsid w:val="00F6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0C03B0"/>
  <w15:chartTrackingRefBased/>
  <w15:docId w15:val="{C63F0DEB-772D-41B6-8373-91742EDD2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1414A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149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149E"/>
    <w:rPr>
      <w:rFonts w:eastAsiaTheme="minorEastAsi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514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424</Words>
  <Characters>3005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Mazurkiewicz Michał</dc:creator>
  <cp:keywords/>
  <dc:description/>
  <cp:lastModifiedBy>Ducal Sylwia</cp:lastModifiedBy>
  <cp:revision>22</cp:revision>
  <dcterms:created xsi:type="dcterms:W3CDTF">2022-05-20T15:30:00Z</dcterms:created>
  <dcterms:modified xsi:type="dcterms:W3CDTF">2022-06-20T19:18:00Z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fbf575c-36da-44f7-a26b-6804f2bce3ff_Enabled">
    <vt:lpwstr>true</vt:lpwstr>
  </property>
  <property fmtid="{D5CDD505-2E9C-101B-9397-08002B2CF9AE}" pid="3" name="MSIP_Label_8fbf575c-36da-44f7-a26b-6804f2bce3ff_SetDate">
    <vt:lpwstr>2021-03-04T10:47:04Z</vt:lpwstr>
  </property>
  <property fmtid="{D5CDD505-2E9C-101B-9397-08002B2CF9AE}" pid="4" name="MSIP_Label_8fbf575c-36da-44f7-a26b-6804f2bce3ff_Method">
    <vt:lpwstr>Standard</vt:lpwstr>
  </property>
  <property fmtid="{D5CDD505-2E9C-101B-9397-08002B2CF9AE}" pid="5" name="MSIP_Label_8fbf575c-36da-44f7-a26b-6804f2bce3ff_Name">
    <vt:lpwstr>8fbf575c-36da-44f7-a26b-6804f2bce3ff</vt:lpwstr>
  </property>
  <property fmtid="{D5CDD505-2E9C-101B-9397-08002B2CF9AE}" pid="6" name="MSIP_Label_8fbf575c-36da-44f7-a26b-6804f2bce3ff_SiteId">
    <vt:lpwstr>edf3cfc4-ee60-4b92-a2cb-da2c123fc895</vt:lpwstr>
  </property>
  <property fmtid="{D5CDD505-2E9C-101B-9397-08002B2CF9AE}" pid="7" name="MSIP_Label_8fbf575c-36da-44f7-a26b-6804f2bce3ff_ActionId">
    <vt:lpwstr>600fda02-9c64-4115-922a-a3634f4eb526</vt:lpwstr>
  </property>
  <property fmtid="{D5CDD505-2E9C-101B-9397-08002B2CF9AE}" pid="8" name="MSIP_Label_8fbf575c-36da-44f7-a26b-6804f2bce3ff_ContentBits">
    <vt:lpwstr>2</vt:lpwstr>
  </property>
</Properties>
</file>