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DE59" w14:textId="77777777" w:rsidR="006F0202" w:rsidRDefault="006F0202" w:rsidP="00D5035B">
      <w:pPr>
        <w:jc w:val="center"/>
        <w:rPr>
          <w:b/>
          <w:bCs/>
          <w:color w:val="92D050"/>
          <w:sz w:val="48"/>
          <w:szCs w:val="48"/>
        </w:rPr>
      </w:pPr>
    </w:p>
    <w:p w14:paraId="2CFEC44C" w14:textId="31220706" w:rsidR="006F0202" w:rsidRDefault="006F0202" w:rsidP="00D5035B">
      <w:pPr>
        <w:jc w:val="center"/>
        <w:rPr>
          <w:b/>
          <w:bCs/>
          <w:color w:val="92D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314B6D" wp14:editId="2B2B4695">
            <wp:simplePos x="0" y="0"/>
            <wp:positionH relativeFrom="column">
              <wp:posOffset>909955</wp:posOffset>
            </wp:positionH>
            <wp:positionV relativeFrom="paragraph">
              <wp:posOffset>6985</wp:posOffset>
            </wp:positionV>
            <wp:extent cx="38290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94FAD" w14:textId="0198B2F2" w:rsidR="006F0202" w:rsidRDefault="006F0202" w:rsidP="00D5035B">
      <w:pPr>
        <w:jc w:val="center"/>
        <w:rPr>
          <w:b/>
          <w:bCs/>
          <w:color w:val="92D050"/>
          <w:sz w:val="48"/>
          <w:szCs w:val="48"/>
        </w:rPr>
      </w:pPr>
    </w:p>
    <w:p w14:paraId="55B91CC1" w14:textId="604AD032" w:rsidR="00D5035B" w:rsidRPr="006F0202" w:rsidRDefault="006F0202" w:rsidP="00D5035B">
      <w:pPr>
        <w:jc w:val="center"/>
        <w:rPr>
          <w:color w:val="C45911" w:themeColor="accent2" w:themeShade="BF"/>
          <w:sz w:val="56"/>
          <w:szCs w:val="56"/>
        </w:rPr>
      </w:pPr>
      <w:r w:rsidRPr="006F0202">
        <w:rPr>
          <w:b/>
          <w:bCs/>
          <w:color w:val="C45911" w:themeColor="accent2" w:themeShade="BF"/>
          <w:sz w:val="48"/>
          <w:szCs w:val="48"/>
        </w:rPr>
        <w:t>Likwiduje objawy przeziębienia i grypy</w:t>
      </w:r>
      <w:r w:rsidRPr="006F0202">
        <w:rPr>
          <w:b/>
          <w:bCs/>
          <w:color w:val="C45911" w:themeColor="accent2" w:themeShade="BF"/>
          <w:sz w:val="48"/>
          <w:szCs w:val="48"/>
        </w:rPr>
        <w:br/>
        <w:t>oraz pomaga zwalczać infekcję wirusową</w:t>
      </w:r>
      <w:r w:rsidRPr="006F0202">
        <w:rPr>
          <w:noProof/>
          <w:color w:val="C45911" w:themeColor="accent2" w:themeShade="BF"/>
        </w:rPr>
        <w:t xml:space="preserve"> </w:t>
      </w:r>
    </w:p>
    <w:p w14:paraId="3D7AA147" w14:textId="71B6A192" w:rsidR="00D5035B" w:rsidRDefault="00D5035B">
      <w:r w:rsidRPr="00D5035B">
        <w:rPr>
          <w:noProof/>
          <w:color w:val="00B05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FB53868" wp14:editId="4871AFD2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414395" cy="2402205"/>
            <wp:effectExtent l="0" t="0" r="0" b="0"/>
            <wp:wrapThrough wrapText="bothSides">
              <wp:wrapPolygon edited="0">
                <wp:start x="0" y="0"/>
                <wp:lineTo x="0" y="21412"/>
                <wp:lineTo x="21451" y="21412"/>
                <wp:lineTo x="21451" y="0"/>
                <wp:lineTo x="0" y="0"/>
              </wp:wrapPolygon>
            </wp:wrapThrough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20FDC" w14:textId="5B3ECB94" w:rsidR="00D5035B" w:rsidRPr="00D5035B" w:rsidRDefault="00D5035B" w:rsidP="00D5035B"/>
    <w:p w14:paraId="20511583" w14:textId="05A6BCB3" w:rsidR="00D5035B" w:rsidRPr="00D5035B" w:rsidRDefault="00D5035B" w:rsidP="00D5035B"/>
    <w:p w14:paraId="2CBB97A3" w14:textId="4F1EB86A" w:rsidR="00D5035B" w:rsidRPr="00D5035B" w:rsidRDefault="00D5035B" w:rsidP="00D5035B"/>
    <w:p w14:paraId="46640AB5" w14:textId="4B1EF472" w:rsidR="00D5035B" w:rsidRPr="00D5035B" w:rsidRDefault="00D5035B" w:rsidP="00D5035B"/>
    <w:p w14:paraId="7D256C8B" w14:textId="192E0695" w:rsidR="00D5035B" w:rsidRPr="00D5035B" w:rsidRDefault="00D5035B" w:rsidP="00D5035B"/>
    <w:p w14:paraId="7232BE57" w14:textId="14B76822" w:rsidR="00D5035B" w:rsidRPr="00D5035B" w:rsidRDefault="00D5035B" w:rsidP="00D5035B"/>
    <w:p w14:paraId="33C3A1FC" w14:textId="60ED1841" w:rsidR="00D5035B" w:rsidRPr="00D5035B" w:rsidRDefault="00D5035B" w:rsidP="00D5035B"/>
    <w:p w14:paraId="4BF61C3D" w14:textId="0A16DBE7" w:rsidR="00D5035B" w:rsidRDefault="00D5035B" w:rsidP="006F0202"/>
    <w:p w14:paraId="7E885346" w14:textId="457E237F" w:rsidR="00D5035B" w:rsidRDefault="00D5035B" w:rsidP="00D5035B">
      <w:pPr>
        <w:jc w:val="center"/>
      </w:pPr>
    </w:p>
    <w:p w14:paraId="6DE1CDD2" w14:textId="51BEE283" w:rsidR="001B01BB" w:rsidRPr="001B01BB" w:rsidRDefault="001B01BB" w:rsidP="001B01BB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sz w:val="17"/>
          <w:szCs w:val="17"/>
        </w:rPr>
      </w:pPr>
      <w:r w:rsidRPr="001B01BB">
        <w:rPr>
          <w:rFonts w:ascii="Arial-BoldMT" w:hAnsi="Arial-BoldMT" w:cs="Arial-BoldMT"/>
          <w:sz w:val="17"/>
          <w:szCs w:val="17"/>
        </w:rPr>
        <w:t>SCO/280/10-2022</w:t>
      </w:r>
    </w:p>
    <w:p w14:paraId="65EF2C31" w14:textId="19690B43"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Scorbolamid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 Extra. Skład i postać: </w:t>
      </w:r>
      <w:r>
        <w:rPr>
          <w:rFonts w:ascii="ArialMT" w:hAnsi="ArialMT" w:cs="ArialMT"/>
          <w:sz w:val="17"/>
          <w:szCs w:val="17"/>
        </w:rPr>
        <w:t xml:space="preserve">Każda tabletka powlekana zawiera: 300 mg salicylamidu, 200 mg kwasu askorbowego, 50 mg </w:t>
      </w:r>
      <w:proofErr w:type="spellStart"/>
      <w:r>
        <w:rPr>
          <w:rFonts w:ascii="ArialMT" w:hAnsi="ArialMT" w:cs="ArialMT"/>
          <w:sz w:val="17"/>
          <w:szCs w:val="17"/>
        </w:rPr>
        <w:t>rutozydu</w:t>
      </w:r>
      <w:proofErr w:type="spellEnd"/>
      <w:r>
        <w:rPr>
          <w:rFonts w:ascii="ArialMT" w:hAnsi="ArialMT" w:cs="ArialMT"/>
          <w:sz w:val="17"/>
          <w:szCs w:val="17"/>
        </w:rPr>
        <w:t xml:space="preserve">, 5 mg cynku. Substancje pomocnicze o znanym działaniu: </w:t>
      </w:r>
      <w:proofErr w:type="spellStart"/>
      <w:r>
        <w:rPr>
          <w:rFonts w:ascii="ArialMT" w:hAnsi="ArialMT" w:cs="ArialMT"/>
          <w:sz w:val="17"/>
          <w:szCs w:val="17"/>
        </w:rPr>
        <w:t>tartrazyna</w:t>
      </w:r>
      <w:proofErr w:type="spellEnd"/>
      <w:r>
        <w:rPr>
          <w:rFonts w:ascii="ArialMT" w:hAnsi="ArialMT" w:cs="ArialMT"/>
          <w:sz w:val="17"/>
          <w:szCs w:val="17"/>
        </w:rPr>
        <w:t xml:space="preserve"> (E 102), żółcień pomarańczowa FCF (E 110) oraz lecytyna sojowa (E 322).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Wskazania: </w:t>
      </w:r>
      <w:r>
        <w:rPr>
          <w:rFonts w:ascii="ArialMT" w:hAnsi="ArialMT" w:cs="ArialMT"/>
          <w:sz w:val="17"/>
          <w:szCs w:val="17"/>
        </w:rPr>
        <w:t xml:space="preserve">Gorączka i objawy związane z przeziębieniem lub grypą, bóle głowy, wspomaganie odporności organizmu w stanach zwiększonego zapotrzebowania na witaminę C i cynk oraz uszczelnianie naczyń włosowatych.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Przeciwwskazania: </w:t>
      </w:r>
      <w:r>
        <w:rPr>
          <w:rFonts w:ascii="ArialMT" w:hAnsi="ArialMT" w:cs="ArialMT"/>
          <w:sz w:val="17"/>
          <w:szCs w:val="17"/>
        </w:rPr>
        <w:t>Nadwrażliwość</w:t>
      </w:r>
    </w:p>
    <w:p w14:paraId="444A79E4" w14:textId="41F345CA" w:rsid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na substancje czynne lub na którąkolwiek substancję pomocniczą produktu leczniczego. Nadwrażliwość na niesteroidowe leki przeciwzapalne. Astma z polipami nosa (wywołana lub zaostrzona przez kwas acetylosalicylowy). Czynna choroba wrzodowa żołądka i dwunastnicy, stany zapalne przewodu pokarmowego. Zaburzenia równowagi kwasowo-zasadowej (cukrzyca, mocznica, tężyczka). Zaburzenia krzepliwości krwi (np. hemofilia, trombocytopenia). Genetycznie uwarunkowany niedobór dehydrogenazy glukozo-6- fosforanowej (ryzyko hemolizy po długotrwałym, doustnym przyjmowaniu kwasu askorbowego). Kamica nerkowa w wywiadzie (ryzyko</w:t>
      </w:r>
    </w:p>
    <w:p w14:paraId="13249935" w14:textId="202BDE8D" w:rsidR="006F0202" w:rsidRPr="006F0202" w:rsidRDefault="006F0202" w:rsidP="006F02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powstawania kamieni moczowych po zastosowaniu dużych dawek kwasu askorbowego). Hemochromatoza, </w:t>
      </w:r>
      <w:proofErr w:type="spellStart"/>
      <w:r>
        <w:rPr>
          <w:rFonts w:ascii="ArialMT" w:hAnsi="ArialMT" w:cs="ArialMT"/>
          <w:sz w:val="17"/>
          <w:szCs w:val="17"/>
        </w:rPr>
        <w:t>niedokrwistoś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proofErr w:type="spellStart"/>
      <w:r>
        <w:rPr>
          <w:rFonts w:ascii="ArialMT" w:hAnsi="ArialMT" w:cs="ArialMT"/>
          <w:sz w:val="17"/>
          <w:szCs w:val="17"/>
        </w:rPr>
        <w:t>syderoblastyczna</w:t>
      </w:r>
      <w:proofErr w:type="spellEnd"/>
      <w:r>
        <w:rPr>
          <w:rFonts w:ascii="ArialMT" w:hAnsi="ArialMT" w:cs="ArialMT"/>
          <w:sz w:val="17"/>
          <w:szCs w:val="17"/>
        </w:rPr>
        <w:t xml:space="preserve">, nadmierna ilości kwasu moczowego we krwi lub szczawianów w moczu. Ciężka niewydolność serca. Ciąża. Karmienie piersią. Jednoczesne stosowanie z </w:t>
      </w:r>
      <w:proofErr w:type="spellStart"/>
      <w:r>
        <w:rPr>
          <w:rFonts w:ascii="ArialMT" w:hAnsi="ArialMT" w:cs="ArialMT"/>
          <w:sz w:val="17"/>
          <w:szCs w:val="17"/>
        </w:rPr>
        <w:t>metotreksatem</w:t>
      </w:r>
      <w:proofErr w:type="spellEnd"/>
      <w:r>
        <w:rPr>
          <w:rFonts w:ascii="ArialMT" w:hAnsi="ArialMT" w:cs="ArialMT"/>
          <w:sz w:val="17"/>
          <w:szCs w:val="17"/>
        </w:rPr>
        <w:t xml:space="preserve"> w dawkach 15 mg tygodniowo lub większych. Produktu nie należy stosować u dzieci i młodzieży w wieku poniżej 16 lat (poza rzadkimi chorobami, takimi jak np. choroba Kawasaki), ze względu na ryzyko wystąpienia zespołu </w:t>
      </w:r>
      <w:proofErr w:type="spellStart"/>
      <w:r>
        <w:rPr>
          <w:rFonts w:ascii="ArialMT" w:hAnsi="ArialMT" w:cs="ArialMT"/>
          <w:sz w:val="17"/>
          <w:szCs w:val="17"/>
        </w:rPr>
        <w:t>Reye’a</w:t>
      </w:r>
      <w:proofErr w:type="spellEnd"/>
      <w:r>
        <w:rPr>
          <w:rFonts w:ascii="ArialMT" w:hAnsi="ArialMT" w:cs="ArialMT"/>
          <w:sz w:val="17"/>
          <w:szCs w:val="17"/>
        </w:rPr>
        <w:t xml:space="preserve">. Produkt zawiera lecytynę sojową i jest przeciwwskazany u pacjentów z nadwrażliwością na orzeszki ziemne lub soję. </w:t>
      </w:r>
      <w:r>
        <w:rPr>
          <w:rFonts w:ascii="Arial-BoldMT" w:hAnsi="Arial-BoldMT" w:cs="Arial-BoldMT"/>
          <w:b/>
          <w:bCs/>
          <w:sz w:val="17"/>
          <w:szCs w:val="17"/>
        </w:rPr>
        <w:t>Podmiot</w:t>
      </w:r>
      <w:r>
        <w:rPr>
          <w:rFonts w:ascii="ArialMT" w:hAnsi="ArialMT" w:cs="ArialMT"/>
          <w:sz w:val="17"/>
          <w:szCs w:val="17"/>
        </w:rPr>
        <w:t xml:space="preserve">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odpowiedzialny: </w:t>
      </w:r>
      <w:r>
        <w:rPr>
          <w:rFonts w:ascii="ArialMT" w:hAnsi="ArialMT" w:cs="ArialMT"/>
          <w:sz w:val="17"/>
          <w:szCs w:val="17"/>
        </w:rPr>
        <w:t xml:space="preserve">Zakłady Farmaceutyczne Polpharma S.A. Pozwolenie na dopuszczenie do obrotu nr 23492 wydane przez MZ. Lek wydawany bez recepty. </w:t>
      </w:r>
      <w:proofErr w:type="spellStart"/>
      <w:r>
        <w:rPr>
          <w:rFonts w:ascii="ArialMT" w:hAnsi="ArialMT" w:cs="ArialMT"/>
          <w:sz w:val="17"/>
          <w:szCs w:val="17"/>
        </w:rPr>
        <w:t>ChPL</w:t>
      </w:r>
      <w:proofErr w:type="spellEnd"/>
      <w:r>
        <w:rPr>
          <w:rFonts w:ascii="ArialMT" w:hAnsi="ArialMT" w:cs="ArialMT"/>
          <w:sz w:val="17"/>
          <w:szCs w:val="17"/>
        </w:rPr>
        <w:t>: 2020.04.06.</w:t>
      </w:r>
    </w:p>
    <w:sectPr w:rsidR="006F0202" w:rsidRPr="006F0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3B66" w14:textId="77777777" w:rsidR="00D341CA" w:rsidRDefault="00D341CA" w:rsidP="00D341CA">
      <w:pPr>
        <w:spacing w:after="0" w:line="240" w:lineRule="auto"/>
      </w:pPr>
      <w:r>
        <w:separator/>
      </w:r>
    </w:p>
  </w:endnote>
  <w:endnote w:type="continuationSeparator" w:id="0">
    <w:p w14:paraId="0A26EB45" w14:textId="77777777" w:rsidR="00D341CA" w:rsidRDefault="00D341CA" w:rsidP="00D3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DD83" w14:textId="77777777" w:rsidR="00EE2172" w:rsidRDefault="00EE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A2B3" w14:textId="33B4963D" w:rsidR="00D341CA" w:rsidRDefault="00D341C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F47854" wp14:editId="58A84E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ec7946f7a24e22fa9b98484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851B2" w14:textId="481A3236" w:rsidR="00D341CA" w:rsidRPr="00D341CA" w:rsidRDefault="00D341CA" w:rsidP="00D341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341C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D341C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D341C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47854" id="_x0000_t202" coordsize="21600,21600" o:spt="202" path="m,l,21600r21600,l21600,xe">
              <v:stroke joinstyle="miter"/>
              <v:path gradientshapeok="t" o:connecttype="rect"/>
            </v:shapetype>
            <v:shape id="MSIPCMec7946f7a24e22fa9b98484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20851B2" w14:textId="481A3236" w:rsidR="00D341CA" w:rsidRPr="00D341CA" w:rsidRDefault="00D341CA" w:rsidP="00D341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341C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D341C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D341C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662C" w14:textId="77777777" w:rsidR="00EE2172" w:rsidRDefault="00EE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503D" w14:textId="77777777" w:rsidR="00D341CA" w:rsidRDefault="00D341CA" w:rsidP="00D341CA">
      <w:pPr>
        <w:spacing w:after="0" w:line="240" w:lineRule="auto"/>
      </w:pPr>
      <w:r>
        <w:separator/>
      </w:r>
    </w:p>
  </w:footnote>
  <w:footnote w:type="continuationSeparator" w:id="0">
    <w:p w14:paraId="0DB98A6F" w14:textId="77777777" w:rsidR="00D341CA" w:rsidRDefault="00D341CA" w:rsidP="00D3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F716" w14:textId="77777777" w:rsidR="00EE2172" w:rsidRDefault="00EE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E0D1" w14:textId="77777777" w:rsidR="00EE2172" w:rsidRDefault="00EE2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9339" w14:textId="77777777" w:rsidR="00EE2172" w:rsidRDefault="00EE2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1B01BB"/>
    <w:rsid w:val="004D243D"/>
    <w:rsid w:val="006F0202"/>
    <w:rsid w:val="00972C66"/>
    <w:rsid w:val="00D341CA"/>
    <w:rsid w:val="00D5035B"/>
    <w:rsid w:val="00DF577F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0966A"/>
  <w15:chartTrackingRefBased/>
  <w15:docId w15:val="{A8327E98-5A36-4D88-8FE2-FAA2E04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CA"/>
  </w:style>
  <w:style w:type="paragraph" w:styleId="Stopka">
    <w:name w:val="footer"/>
    <w:basedOn w:val="Normalny"/>
    <w:link w:val="StopkaZnak"/>
    <w:uiPriority w:val="99"/>
    <w:unhideWhenUsed/>
    <w:rsid w:val="00D3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Ostrysz</dc:creator>
  <cp:keywords/>
  <dc:description/>
  <cp:lastModifiedBy>Ostrysz Olga</cp:lastModifiedBy>
  <cp:revision>3</cp:revision>
  <dcterms:created xsi:type="dcterms:W3CDTF">2022-10-13T09:54:00Z</dcterms:created>
  <dcterms:modified xsi:type="dcterms:W3CDTF">2022-10-20T09:17:00Z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2022-10-20T09:17:07Z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8d64809e-e70f-4f1e-94ab-25748f0fd423</vt:lpwstr>
  </property>
  <property fmtid="{D5CDD505-2E9C-101B-9397-08002B2CF9AE}" pid="8" name="MSIP_Label_8fbf575c-36da-44f7-a26b-6804f2bce3ff_ContentBits">
    <vt:lpwstr>2</vt:lpwstr>
  </property>
</Properties>
</file>