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FE94" w14:textId="71A2C3F5" w:rsidR="00C5526D" w:rsidRDefault="00C5526D" w:rsidP="00C5526D">
      <w:r>
        <w:rPr>
          <w:noProof/>
        </w:rPr>
        <w:drawing>
          <wp:anchor distT="0" distB="0" distL="114300" distR="114300" simplePos="0" relativeHeight="251660288" behindDoc="0" locked="0" layoutInCell="1" allowOverlap="1" wp14:anchorId="6BB1CD8A" wp14:editId="25051A27">
            <wp:simplePos x="0" y="0"/>
            <wp:positionH relativeFrom="margin">
              <wp:posOffset>271780</wp:posOffset>
            </wp:positionH>
            <wp:positionV relativeFrom="paragraph">
              <wp:posOffset>214630</wp:posOffset>
            </wp:positionV>
            <wp:extent cx="5534025" cy="1304290"/>
            <wp:effectExtent l="0" t="0" r="9525" b="0"/>
            <wp:wrapThrough wrapText="bothSides">
              <wp:wrapPolygon edited="0">
                <wp:start x="0" y="0"/>
                <wp:lineTo x="0" y="21137"/>
                <wp:lineTo x="21563" y="21137"/>
                <wp:lineTo x="21563" y="0"/>
                <wp:lineTo x="0" y="0"/>
              </wp:wrapPolygon>
            </wp:wrapThrough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D26881" w14:textId="1A693133" w:rsidR="00C5526D" w:rsidRDefault="00C5526D" w:rsidP="00C5526D"/>
    <w:p w14:paraId="5FFFF6B3" w14:textId="7417C91B" w:rsidR="00C5526D" w:rsidRDefault="00C5526D" w:rsidP="00C5526D">
      <w:r>
        <w:rPr>
          <w:noProof/>
        </w:rPr>
        <w:drawing>
          <wp:anchor distT="0" distB="0" distL="114300" distR="114300" simplePos="0" relativeHeight="251659264" behindDoc="0" locked="0" layoutInCell="1" allowOverlap="1" wp14:anchorId="7545AD30" wp14:editId="4F8AF8A9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4667250" cy="1763395"/>
            <wp:effectExtent l="0" t="0" r="0" b="8255"/>
            <wp:wrapThrough wrapText="bothSides">
              <wp:wrapPolygon edited="0">
                <wp:start x="0" y="0"/>
                <wp:lineTo x="0" y="21468"/>
                <wp:lineTo x="21512" y="21468"/>
                <wp:lineTo x="21512" y="0"/>
                <wp:lineTo x="0" y="0"/>
              </wp:wrapPolygon>
            </wp:wrapThrough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38FC30" w14:textId="3EA1BB1D" w:rsidR="00C5526D" w:rsidRDefault="00C5526D" w:rsidP="00C552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7"/>
          <w:szCs w:val="17"/>
        </w:rPr>
      </w:pPr>
    </w:p>
    <w:p w14:paraId="5C500D0B" w14:textId="207F80DE" w:rsidR="00C5526D" w:rsidRDefault="00C5526D" w:rsidP="00C552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7"/>
          <w:szCs w:val="17"/>
        </w:rPr>
      </w:pPr>
    </w:p>
    <w:p w14:paraId="61EE6B2C" w14:textId="0602DE6C" w:rsidR="00C5526D" w:rsidRDefault="00C5526D" w:rsidP="00C552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7"/>
          <w:szCs w:val="17"/>
        </w:rPr>
      </w:pPr>
    </w:p>
    <w:p w14:paraId="779E4159" w14:textId="77777777" w:rsidR="00C5526D" w:rsidRDefault="00C5526D" w:rsidP="00C552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7"/>
          <w:szCs w:val="17"/>
        </w:rPr>
      </w:pPr>
    </w:p>
    <w:p w14:paraId="1E276FC3" w14:textId="77777777" w:rsidR="00C5526D" w:rsidRDefault="00C5526D" w:rsidP="00C552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7"/>
          <w:szCs w:val="17"/>
        </w:rPr>
      </w:pPr>
    </w:p>
    <w:p w14:paraId="4E056F6F" w14:textId="4A6F2BB7" w:rsidR="00C5526D" w:rsidRDefault="00C5526D" w:rsidP="00C552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7"/>
          <w:szCs w:val="17"/>
        </w:rPr>
      </w:pPr>
    </w:p>
    <w:p w14:paraId="6A34BDC4" w14:textId="77777777" w:rsidR="00C5526D" w:rsidRDefault="00C5526D" w:rsidP="00C552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7"/>
          <w:szCs w:val="17"/>
        </w:rPr>
      </w:pPr>
    </w:p>
    <w:p w14:paraId="169291BA" w14:textId="0FED5182" w:rsidR="00C5526D" w:rsidRDefault="00C5526D" w:rsidP="00C552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7"/>
          <w:szCs w:val="17"/>
        </w:rPr>
      </w:pPr>
    </w:p>
    <w:p w14:paraId="1E5C9FE7" w14:textId="27E44376" w:rsidR="00C5526D" w:rsidRDefault="00C5526D" w:rsidP="00C552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7"/>
          <w:szCs w:val="17"/>
        </w:rPr>
      </w:pPr>
    </w:p>
    <w:p w14:paraId="5A31DB14" w14:textId="15F67566" w:rsidR="00C5526D" w:rsidRDefault="00C5526D" w:rsidP="00C552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7"/>
          <w:szCs w:val="17"/>
        </w:rPr>
      </w:pPr>
    </w:p>
    <w:p w14:paraId="5043F550" w14:textId="2C79A865" w:rsidR="00C5526D" w:rsidRDefault="00C5526D" w:rsidP="00C552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7"/>
          <w:szCs w:val="17"/>
        </w:rPr>
      </w:pPr>
    </w:p>
    <w:p w14:paraId="226E857A" w14:textId="6B6B0BB5" w:rsidR="00C5526D" w:rsidRDefault="00C5526D" w:rsidP="00C552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7"/>
          <w:szCs w:val="17"/>
        </w:rPr>
      </w:pPr>
    </w:p>
    <w:p w14:paraId="6B8ED54E" w14:textId="27474466" w:rsidR="00C5526D" w:rsidRDefault="00C5526D" w:rsidP="00C552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7"/>
          <w:szCs w:val="17"/>
        </w:rPr>
      </w:pPr>
    </w:p>
    <w:p w14:paraId="6A867C28" w14:textId="4455F9E0" w:rsidR="00C5526D" w:rsidRDefault="00C5526D" w:rsidP="00C552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7"/>
          <w:szCs w:val="17"/>
        </w:rPr>
      </w:pPr>
    </w:p>
    <w:p w14:paraId="315FDD11" w14:textId="3BD6C0AF" w:rsidR="00C5526D" w:rsidRDefault="00C5526D" w:rsidP="00C552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71DF38A" wp14:editId="4EA437FD">
            <wp:simplePos x="0" y="0"/>
            <wp:positionH relativeFrom="margin">
              <wp:align>center</wp:align>
            </wp:positionH>
            <wp:positionV relativeFrom="paragraph">
              <wp:posOffset>170180</wp:posOffset>
            </wp:positionV>
            <wp:extent cx="5259070" cy="850900"/>
            <wp:effectExtent l="0" t="0" r="0" b="6350"/>
            <wp:wrapThrough wrapText="bothSides">
              <wp:wrapPolygon edited="0">
                <wp:start x="0" y="0"/>
                <wp:lineTo x="0" y="21278"/>
                <wp:lineTo x="21517" y="21278"/>
                <wp:lineTo x="21517" y="0"/>
                <wp:lineTo x="0" y="0"/>
              </wp:wrapPolygon>
            </wp:wrapThrough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8656AB9" wp14:editId="6F99C93A">
            <wp:simplePos x="0" y="0"/>
            <wp:positionH relativeFrom="margin">
              <wp:align>center</wp:align>
            </wp:positionH>
            <wp:positionV relativeFrom="paragraph">
              <wp:posOffset>1113155</wp:posOffset>
            </wp:positionV>
            <wp:extent cx="5153025" cy="850900"/>
            <wp:effectExtent l="0" t="0" r="9525" b="6350"/>
            <wp:wrapThrough wrapText="bothSides">
              <wp:wrapPolygon edited="0">
                <wp:start x="0" y="0"/>
                <wp:lineTo x="0" y="21278"/>
                <wp:lineTo x="21560" y="21278"/>
                <wp:lineTo x="21560" y="0"/>
                <wp:lineTo x="0" y="0"/>
              </wp:wrapPolygon>
            </wp:wrapThrough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881722" w14:textId="0D04BE9A" w:rsidR="00C5526D" w:rsidRDefault="00C5526D" w:rsidP="00C552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7"/>
          <w:szCs w:val="17"/>
        </w:rPr>
      </w:pPr>
    </w:p>
    <w:p w14:paraId="0A10DDAF" w14:textId="77777777" w:rsidR="00C5526D" w:rsidRDefault="00C5526D" w:rsidP="00C552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7"/>
          <w:szCs w:val="17"/>
        </w:rPr>
      </w:pPr>
    </w:p>
    <w:p w14:paraId="7D695B5F" w14:textId="5F53181A" w:rsidR="00C5526D" w:rsidRDefault="00C5526D" w:rsidP="00C552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7"/>
          <w:szCs w:val="17"/>
        </w:rPr>
      </w:pPr>
    </w:p>
    <w:p w14:paraId="3F1C9906" w14:textId="77777777" w:rsidR="00992425" w:rsidRDefault="00992425" w:rsidP="00992425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SCO/279/10-2022</w:t>
      </w:r>
    </w:p>
    <w:p w14:paraId="05A0D26E" w14:textId="335C410D" w:rsidR="00C5526D" w:rsidRDefault="00C5526D" w:rsidP="00C552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7"/>
          <w:szCs w:val="17"/>
        </w:rPr>
      </w:pPr>
    </w:p>
    <w:p w14:paraId="79A8290F" w14:textId="151D6693" w:rsidR="00C5526D" w:rsidRPr="00C64943" w:rsidRDefault="00C5526D" w:rsidP="00C552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7"/>
          <w:szCs w:val="17"/>
        </w:rPr>
      </w:pPr>
      <w:r w:rsidRPr="00C64943">
        <w:rPr>
          <w:rFonts w:ascii="Arial-BoldMT" w:hAnsi="Arial-BoldMT" w:cs="Arial-BoldMT"/>
          <w:sz w:val="17"/>
          <w:szCs w:val="17"/>
        </w:rPr>
        <w:t>*Kwas askorbowy wpływa na procesy związane z odpornością ustroju</w:t>
      </w:r>
    </w:p>
    <w:p w14:paraId="433C2434" w14:textId="46DBFA1A" w:rsidR="00C5526D" w:rsidRPr="00C64943" w:rsidRDefault="00C5526D" w:rsidP="00C5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-BoldMT" w:hAnsi="Arial-BoldMT" w:cs="Arial-BoldMT"/>
          <w:b/>
          <w:bCs/>
          <w:sz w:val="17"/>
          <w:szCs w:val="17"/>
        </w:rPr>
        <w:t xml:space="preserve">Scorbolamid. Skład i postać: </w:t>
      </w:r>
      <w:r>
        <w:rPr>
          <w:rFonts w:ascii="ArialMT" w:hAnsi="ArialMT" w:cs="ArialMT"/>
          <w:sz w:val="17"/>
          <w:szCs w:val="17"/>
        </w:rPr>
        <w:t xml:space="preserve">Każda tabletka drażowana zawiera: 300 mg salicylamidu, 100 mg kwasu askorbowego, 5 mg rutozydu. Substancje pomocnicze o znanym działaniu: sacharoza i żółcień chinolinowa (E104). Tabletki drażowane. Okrągłe, obustronnie wypukłe tabletki drażowane, barwy żółtej. </w:t>
      </w:r>
      <w:r>
        <w:rPr>
          <w:rFonts w:ascii="Arial-BoldMT" w:hAnsi="Arial-BoldMT" w:cs="Arial-BoldMT"/>
          <w:b/>
          <w:bCs/>
          <w:sz w:val="17"/>
          <w:szCs w:val="17"/>
        </w:rPr>
        <w:t xml:space="preserve">Wskazania: </w:t>
      </w:r>
      <w:r>
        <w:rPr>
          <w:rFonts w:ascii="ArialMT" w:hAnsi="ArialMT" w:cs="ArialMT"/>
          <w:sz w:val="17"/>
          <w:szCs w:val="17"/>
        </w:rPr>
        <w:t xml:space="preserve">Gorączka i ból związane z przeziębieniem lub grypą, bóle głowy, nerwobóle. </w:t>
      </w:r>
      <w:r>
        <w:rPr>
          <w:rFonts w:ascii="Arial-BoldMT" w:hAnsi="Arial-BoldMT" w:cs="Arial-BoldMT"/>
          <w:b/>
          <w:bCs/>
          <w:sz w:val="17"/>
          <w:szCs w:val="17"/>
        </w:rPr>
        <w:t xml:space="preserve">Przeciwwskazania: </w:t>
      </w:r>
      <w:r>
        <w:rPr>
          <w:rFonts w:ascii="ArialMT" w:hAnsi="ArialMT" w:cs="ArialMT"/>
          <w:sz w:val="17"/>
          <w:szCs w:val="17"/>
        </w:rPr>
        <w:t xml:space="preserve">nadwrażliwość na substancje czynne lub na którąkolwiek substancję pomocniczą leku; nadwrażliwość na inne niesteroidowe leki przeciwzapalne; astma z polipami nosa (wywołana lub zaostrzona przez kwas acetylosalicylowy); czynna choroba wrzodowa żołądka i dwunastnicy, stany zapalne przewodu pokarmowego; zaburzenia równowagi kwasowo-zasadowej (cukrzyca, mocznica, tężyczka); zaburzenia krzepliwości krwi (np. hemofilia, trombocytopenia); genetycznie uwarunkowany niedobór dehydrogenazy glukozo-6-fosforanowej (ryzyko hemolizy po długotrwałym, doustnym przyjmowaniu kwasu askorbowego); kamica nerkowa w wywiadzie (ryzyko powstawania kamieni moczowych po zastosowaniu dużych dawek kwasu askorbowego); hemochromatoza, niedokrwistość syderoblastyczna, nadmierna ilości kwasu moczowego we krwi lub szczawianów w moczu; ciąża; karmienie piersią. Produktu nie należy stosować u dzieci w wieku poniżej 16 lat, poza rzadkimi chorobami, takimi jak np. choroba Kawasaki, ze względu na ryzyko wystąpienia zespołu Reye’a. </w:t>
      </w:r>
      <w:r>
        <w:rPr>
          <w:rFonts w:ascii="Arial-BoldMT" w:hAnsi="Arial-BoldMT" w:cs="Arial-BoldMT"/>
          <w:b/>
          <w:bCs/>
          <w:sz w:val="17"/>
          <w:szCs w:val="17"/>
        </w:rPr>
        <w:t xml:space="preserve">Podmiot odpowiedzialny: </w:t>
      </w:r>
      <w:r>
        <w:rPr>
          <w:rFonts w:ascii="ArialMT" w:hAnsi="ArialMT" w:cs="ArialMT"/>
          <w:sz w:val="17"/>
          <w:szCs w:val="17"/>
        </w:rPr>
        <w:t>Zakłady Farmaceutyczne Polpharma S.A. ChPL: 2015.07.01.</w:t>
      </w:r>
    </w:p>
    <w:p w14:paraId="5441F262" w14:textId="77C23CC8" w:rsidR="004D243D" w:rsidRDefault="004D243D"/>
    <w:sectPr w:rsidR="004D24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BF159" w14:textId="77777777" w:rsidR="00C75C54" w:rsidRDefault="00C75C54" w:rsidP="00C75C54">
      <w:pPr>
        <w:spacing w:after="0" w:line="240" w:lineRule="auto"/>
      </w:pPr>
      <w:r>
        <w:separator/>
      </w:r>
    </w:p>
  </w:endnote>
  <w:endnote w:type="continuationSeparator" w:id="0">
    <w:p w14:paraId="7AD8A364" w14:textId="77777777" w:rsidR="00C75C54" w:rsidRDefault="00C75C54" w:rsidP="00C7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81CF" w14:textId="77777777" w:rsidR="00992425" w:rsidRDefault="009924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410B" w14:textId="2426E263" w:rsidR="00C75C54" w:rsidRDefault="00C75C5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C7BA39" wp14:editId="5286A9C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8b4244d48239b6674de7c460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256D6D" w14:textId="00385990" w:rsidR="00C75C54" w:rsidRPr="00C75C54" w:rsidRDefault="00C75C54" w:rsidP="00C75C5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75C5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C7BA39" id="_x0000_t202" coordsize="21600,21600" o:spt="202" path="m,l,21600r21600,l21600,xe">
              <v:stroke joinstyle="miter"/>
              <v:path gradientshapeok="t" o:connecttype="rect"/>
            </v:shapetype>
            <v:shape id="MSIPCM8b4244d48239b6674de7c460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9256D6D" w14:textId="00385990" w:rsidR="00C75C54" w:rsidRPr="00C75C54" w:rsidRDefault="00C75C54" w:rsidP="00C75C5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75C54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D356" w14:textId="77777777" w:rsidR="00992425" w:rsidRDefault="009924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7CC2B" w14:textId="77777777" w:rsidR="00C75C54" w:rsidRDefault="00C75C54" w:rsidP="00C75C54">
      <w:pPr>
        <w:spacing w:after="0" w:line="240" w:lineRule="auto"/>
      </w:pPr>
      <w:r>
        <w:separator/>
      </w:r>
    </w:p>
  </w:footnote>
  <w:footnote w:type="continuationSeparator" w:id="0">
    <w:p w14:paraId="066BF8DF" w14:textId="77777777" w:rsidR="00C75C54" w:rsidRDefault="00C75C54" w:rsidP="00C75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32B6" w14:textId="77777777" w:rsidR="00992425" w:rsidRDefault="009924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9764" w14:textId="77777777" w:rsidR="00992425" w:rsidRDefault="009924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6026" w14:textId="77777777" w:rsidR="00992425" w:rsidRDefault="009924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6D"/>
    <w:rsid w:val="004D243D"/>
    <w:rsid w:val="00972C66"/>
    <w:rsid w:val="00992425"/>
    <w:rsid w:val="00C5526D"/>
    <w:rsid w:val="00C75C54"/>
    <w:rsid w:val="00D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4DFD5"/>
  <w15:chartTrackingRefBased/>
  <w15:docId w15:val="{84159A9D-E0E5-42E6-87DA-B6EDFF16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5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C54"/>
  </w:style>
  <w:style w:type="paragraph" w:styleId="Stopka">
    <w:name w:val="footer"/>
    <w:basedOn w:val="Normalny"/>
    <w:link w:val="StopkaZnak"/>
    <w:uiPriority w:val="99"/>
    <w:unhideWhenUsed/>
    <w:rsid w:val="00C75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Ostrysz</dc:creator>
  <cp:keywords/>
  <dc:description/>
  <cp:lastModifiedBy>Ostrysz Olga</cp:lastModifiedBy>
  <cp:revision>2</cp:revision>
  <dcterms:created xsi:type="dcterms:W3CDTF">2022-10-13T09:13:00Z</dcterms:created>
  <dcterms:modified xsi:type="dcterms:W3CDTF">2022-10-20T09:18:00Z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2022-10-20T09:18:52Z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bb620e9c-a444-4f6b-bbda-ad57db63628e</vt:lpwstr>
  </property>
  <property fmtid="{D5CDD505-2E9C-101B-9397-08002B2CF9AE}" pid="8" name="MSIP_Label_8fbf575c-36da-44f7-a26b-6804f2bce3ff_ContentBits">
    <vt:lpwstr>2</vt:lpwstr>
  </property>
</Properties>
</file>