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F6AA" w14:textId="7A6852B4" w:rsidR="00886D2C" w:rsidRDefault="00886D2C" w:rsidP="004928FA">
      <w:pPr>
        <w:pStyle w:val="Podtytu"/>
        <w:rPr>
          <w:rFonts w:eastAsia="Times New Roman"/>
        </w:rPr>
      </w:pPr>
    </w:p>
    <w:p w14:paraId="0A61F6AB" w14:textId="751ADCC5" w:rsidR="00886D2C" w:rsidRPr="00B25BA7" w:rsidRDefault="00886D2C" w:rsidP="00886D2C">
      <w:pPr>
        <w:jc w:val="both"/>
        <w:rPr>
          <w:rFonts w:ascii="Arial" w:eastAsia="Times New Roman" w:hAnsi="Arial" w:cs="Arial"/>
          <w:b/>
          <w:bCs/>
          <w:sz w:val="56"/>
          <w:szCs w:val="56"/>
        </w:rPr>
      </w:pPr>
    </w:p>
    <w:p w14:paraId="0A61F6AC" w14:textId="4C218B77" w:rsidR="00886D2C" w:rsidRDefault="002404D8" w:rsidP="00886D2C">
      <w:pPr>
        <w:jc w:val="both"/>
        <w:rPr>
          <w:rFonts w:ascii="Arial" w:eastAsia="Times New Roman" w:hAnsi="Arial" w:cs="Arial"/>
          <w:b/>
          <w:bCs/>
          <w:sz w:val="28"/>
          <w:szCs w:val="28"/>
        </w:rPr>
      </w:pPr>
      <w:r w:rsidRPr="00B25BA7">
        <w:rPr>
          <w:rFonts w:ascii="Arial" w:eastAsia="Times New Roman" w:hAnsi="Arial" w:cs="Arial"/>
          <w:b/>
          <w:bCs/>
          <w:sz w:val="56"/>
          <w:szCs w:val="56"/>
        </w:rPr>
        <w:t>Nr 1 na silny ból</w:t>
      </w:r>
      <w:r>
        <w:rPr>
          <w:rFonts w:ascii="Arial" w:eastAsia="Times New Roman" w:hAnsi="Arial" w:cs="Arial"/>
          <w:b/>
          <w:bCs/>
          <w:sz w:val="28"/>
          <w:szCs w:val="28"/>
        </w:rPr>
        <w:t>¹</w:t>
      </w:r>
    </w:p>
    <w:p w14:paraId="0A61F6AD" w14:textId="0B35043D" w:rsidR="00886D2C" w:rsidRDefault="000C5784" w:rsidP="00886D2C">
      <w:pPr>
        <w:jc w:val="both"/>
        <w:rPr>
          <w:rFonts w:ascii="Arial" w:eastAsia="Times New Roman" w:hAnsi="Arial" w:cs="Arial"/>
          <w:b/>
          <w:bCs/>
          <w:sz w:val="28"/>
          <w:szCs w:val="28"/>
        </w:rPr>
      </w:pPr>
      <w:r>
        <w:rPr>
          <w:noProof/>
        </w:rPr>
        <w:drawing>
          <wp:anchor distT="0" distB="0" distL="114300" distR="114300" simplePos="0" relativeHeight="251658240" behindDoc="0" locked="0" layoutInCell="1" allowOverlap="1" wp14:anchorId="5D50CE30" wp14:editId="7E51AB12">
            <wp:simplePos x="0" y="0"/>
            <wp:positionH relativeFrom="column">
              <wp:posOffset>2714781</wp:posOffset>
            </wp:positionH>
            <wp:positionV relativeFrom="paragraph">
              <wp:posOffset>60254</wp:posOffset>
            </wp:positionV>
            <wp:extent cx="3277870" cy="24415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2441575"/>
                    </a:xfrm>
                    <a:prstGeom prst="rect">
                      <a:avLst/>
                    </a:prstGeom>
                    <a:noFill/>
                    <a:ln>
                      <a:noFill/>
                    </a:ln>
                  </pic:spPr>
                </pic:pic>
              </a:graphicData>
            </a:graphic>
          </wp:anchor>
        </w:drawing>
      </w:r>
    </w:p>
    <w:p w14:paraId="0A61F6AE" w14:textId="5C18D3A5" w:rsidR="00886D2C" w:rsidRDefault="00886D2C" w:rsidP="00886D2C">
      <w:pPr>
        <w:jc w:val="both"/>
        <w:rPr>
          <w:rFonts w:ascii="Arial" w:eastAsia="Times New Roman" w:hAnsi="Arial" w:cs="Arial"/>
          <w:b/>
          <w:bCs/>
          <w:sz w:val="28"/>
          <w:szCs w:val="28"/>
        </w:rPr>
      </w:pPr>
    </w:p>
    <w:p w14:paraId="0A61F6B2" w14:textId="7353A6D9" w:rsidR="00886D2C" w:rsidRPr="00BD6A2D" w:rsidRDefault="002404D8" w:rsidP="00BD6A2D">
      <w:pPr>
        <w:jc w:val="both"/>
        <w:rPr>
          <w:rFonts w:ascii="Arial" w:eastAsia="Times New Roman" w:hAnsi="Arial" w:cs="Arial"/>
          <w:bCs/>
          <w:sz w:val="20"/>
          <w:szCs w:val="20"/>
        </w:rPr>
      </w:pPr>
      <w:r w:rsidRPr="00BD6A2D">
        <w:rPr>
          <w:rFonts w:ascii="Arial" w:eastAsia="Times New Roman" w:hAnsi="Arial" w:cs="Arial"/>
          <w:b/>
          <w:bCs/>
          <w:sz w:val="20"/>
          <w:szCs w:val="20"/>
        </w:rPr>
        <w:t>Ból o DUŻYM NASILENIU</w:t>
      </w:r>
    </w:p>
    <w:p w14:paraId="0A61F6B4" w14:textId="2DD79F3D" w:rsidR="00886D2C" w:rsidRPr="00886D2C" w:rsidRDefault="00886D2C" w:rsidP="00886D2C">
      <w:pPr>
        <w:pStyle w:val="Akapitzlist"/>
        <w:jc w:val="both"/>
        <w:rPr>
          <w:rFonts w:ascii="Arial" w:eastAsia="Times New Roman" w:hAnsi="Arial" w:cs="Arial"/>
          <w:bCs/>
          <w:sz w:val="20"/>
          <w:szCs w:val="20"/>
        </w:rPr>
      </w:pPr>
    </w:p>
    <w:p w14:paraId="0A61F6B5" w14:textId="7547B09D" w:rsidR="00886D2C" w:rsidRDefault="00886D2C" w:rsidP="00886D2C">
      <w:pPr>
        <w:jc w:val="both"/>
        <w:rPr>
          <w:rFonts w:ascii="Arial" w:eastAsia="Times New Roman" w:hAnsi="Arial" w:cs="Arial"/>
          <w:b/>
          <w:bCs/>
          <w:sz w:val="20"/>
          <w:szCs w:val="20"/>
        </w:rPr>
      </w:pPr>
    </w:p>
    <w:p w14:paraId="0A61F6B6" w14:textId="354A9173" w:rsidR="00886D2C" w:rsidRDefault="00886D2C" w:rsidP="00886D2C">
      <w:pPr>
        <w:jc w:val="both"/>
        <w:rPr>
          <w:rFonts w:ascii="Arial" w:eastAsia="Times New Roman" w:hAnsi="Arial" w:cs="Arial"/>
          <w:b/>
          <w:bCs/>
          <w:sz w:val="20"/>
          <w:szCs w:val="20"/>
        </w:rPr>
      </w:pPr>
    </w:p>
    <w:p w14:paraId="0A61F6B7" w14:textId="30F0996D" w:rsidR="00886D2C" w:rsidRDefault="00886D2C" w:rsidP="00886D2C">
      <w:pPr>
        <w:jc w:val="both"/>
        <w:rPr>
          <w:rFonts w:ascii="Arial" w:eastAsia="Times New Roman" w:hAnsi="Arial" w:cs="Arial"/>
          <w:b/>
          <w:bCs/>
          <w:sz w:val="20"/>
          <w:szCs w:val="20"/>
        </w:rPr>
      </w:pPr>
    </w:p>
    <w:p w14:paraId="0A61F6B8" w14:textId="4B3A0094" w:rsidR="00886D2C" w:rsidRDefault="00886D2C" w:rsidP="00886D2C">
      <w:pPr>
        <w:jc w:val="both"/>
        <w:rPr>
          <w:rFonts w:ascii="Arial" w:eastAsia="Times New Roman" w:hAnsi="Arial" w:cs="Arial"/>
          <w:b/>
          <w:bCs/>
          <w:sz w:val="20"/>
          <w:szCs w:val="20"/>
        </w:rPr>
      </w:pPr>
    </w:p>
    <w:p w14:paraId="0A61F6B9" w14:textId="77777777" w:rsidR="00886D2C" w:rsidRDefault="00886D2C" w:rsidP="00886D2C">
      <w:pPr>
        <w:jc w:val="both"/>
        <w:rPr>
          <w:rFonts w:ascii="Arial" w:eastAsia="Times New Roman" w:hAnsi="Arial" w:cs="Arial"/>
          <w:b/>
          <w:bCs/>
          <w:sz w:val="20"/>
          <w:szCs w:val="20"/>
        </w:rPr>
      </w:pPr>
    </w:p>
    <w:p w14:paraId="0A61F6BA" w14:textId="77777777" w:rsidR="00886D2C" w:rsidRDefault="00886D2C" w:rsidP="00886D2C">
      <w:pPr>
        <w:jc w:val="both"/>
        <w:rPr>
          <w:rFonts w:ascii="Arial" w:eastAsia="Times New Roman" w:hAnsi="Arial" w:cs="Arial"/>
          <w:b/>
          <w:bCs/>
          <w:sz w:val="20"/>
          <w:szCs w:val="20"/>
        </w:rPr>
      </w:pPr>
    </w:p>
    <w:p w14:paraId="6DCB829B" w14:textId="77E313DC" w:rsidR="00B25BA7" w:rsidRDefault="00B25BA7" w:rsidP="002404D8">
      <w:pPr>
        <w:jc w:val="both"/>
        <w:rPr>
          <w:rFonts w:ascii="Arial" w:eastAsia="Times New Roman" w:hAnsi="Arial" w:cs="Arial"/>
          <w:b/>
          <w:bCs/>
          <w:sz w:val="20"/>
          <w:szCs w:val="20"/>
        </w:rPr>
      </w:pPr>
    </w:p>
    <w:p w14:paraId="49F353F9" w14:textId="77777777" w:rsidR="00B25BA7" w:rsidRDefault="00B25BA7" w:rsidP="002404D8">
      <w:pPr>
        <w:jc w:val="both"/>
        <w:rPr>
          <w:rFonts w:ascii="Arial" w:eastAsia="Times New Roman" w:hAnsi="Arial" w:cs="Arial"/>
          <w:b/>
          <w:bCs/>
          <w:sz w:val="20"/>
          <w:szCs w:val="20"/>
        </w:rPr>
      </w:pPr>
    </w:p>
    <w:p w14:paraId="120B6953" w14:textId="77777777" w:rsidR="00B25BA7" w:rsidRDefault="00B25BA7" w:rsidP="002404D8">
      <w:pPr>
        <w:jc w:val="both"/>
        <w:rPr>
          <w:rFonts w:ascii="Arial" w:eastAsia="Times New Roman" w:hAnsi="Arial" w:cs="Arial"/>
          <w:b/>
          <w:bCs/>
          <w:sz w:val="20"/>
          <w:szCs w:val="20"/>
        </w:rPr>
      </w:pPr>
    </w:p>
    <w:p w14:paraId="1E6BA939" w14:textId="77777777" w:rsidR="00B25BA7" w:rsidRDefault="00B25BA7" w:rsidP="002404D8">
      <w:pPr>
        <w:jc w:val="both"/>
        <w:rPr>
          <w:rFonts w:ascii="Arial" w:eastAsia="Times New Roman" w:hAnsi="Arial" w:cs="Arial"/>
          <w:b/>
          <w:bCs/>
          <w:sz w:val="20"/>
          <w:szCs w:val="20"/>
        </w:rPr>
      </w:pPr>
    </w:p>
    <w:p w14:paraId="0DD0794F" w14:textId="77777777" w:rsidR="00B25BA7" w:rsidRDefault="00B25BA7" w:rsidP="002404D8">
      <w:pPr>
        <w:jc w:val="both"/>
        <w:rPr>
          <w:rFonts w:ascii="Arial" w:eastAsia="Times New Roman" w:hAnsi="Arial" w:cs="Arial"/>
          <w:b/>
          <w:bCs/>
          <w:sz w:val="20"/>
          <w:szCs w:val="20"/>
        </w:rPr>
      </w:pPr>
    </w:p>
    <w:p w14:paraId="23FBAACD" w14:textId="77777777" w:rsidR="00B25BA7" w:rsidRDefault="00B25BA7" w:rsidP="002404D8">
      <w:pPr>
        <w:jc w:val="both"/>
        <w:rPr>
          <w:rFonts w:ascii="Arial" w:eastAsia="Times New Roman" w:hAnsi="Arial" w:cs="Arial"/>
          <w:b/>
          <w:bCs/>
          <w:sz w:val="20"/>
          <w:szCs w:val="20"/>
        </w:rPr>
      </w:pPr>
    </w:p>
    <w:p w14:paraId="52494E8A" w14:textId="77777777" w:rsidR="00B25BA7" w:rsidRDefault="00B25BA7" w:rsidP="002404D8">
      <w:pPr>
        <w:jc w:val="both"/>
        <w:rPr>
          <w:rFonts w:ascii="Arial" w:eastAsia="Times New Roman" w:hAnsi="Arial" w:cs="Arial"/>
          <w:b/>
          <w:bCs/>
          <w:sz w:val="20"/>
          <w:szCs w:val="20"/>
        </w:rPr>
      </w:pPr>
    </w:p>
    <w:p w14:paraId="1EF81E1F" w14:textId="10E08E73" w:rsidR="00175C0F" w:rsidRPr="004928FA" w:rsidRDefault="002404D8" w:rsidP="004928FA">
      <w:pPr>
        <w:autoSpaceDE w:val="0"/>
        <w:autoSpaceDN w:val="0"/>
        <w:adjustRightInd w:val="0"/>
        <w:jc w:val="both"/>
        <w:rPr>
          <w:rFonts w:ascii="Arial" w:eastAsia="Times New Roman" w:hAnsi="Arial" w:cs="Arial"/>
          <w:sz w:val="16"/>
          <w:szCs w:val="16"/>
        </w:rPr>
      </w:pPr>
      <w:r>
        <w:rPr>
          <w:rFonts w:ascii="Arial" w:eastAsia="Times New Roman" w:hAnsi="Arial" w:cs="Arial"/>
          <w:sz w:val="20"/>
          <w:szCs w:val="20"/>
        </w:rPr>
        <w:br/>
      </w:r>
      <w:r w:rsidR="00574117">
        <w:rPr>
          <w:rFonts w:ascii="Arial" w:eastAsia="Times New Roman" w:hAnsi="Arial" w:cs="Arial"/>
          <w:b/>
          <w:bCs/>
          <w:sz w:val="20"/>
          <w:szCs w:val="20"/>
        </w:rPr>
        <w:t>Pyralgina.</w:t>
      </w:r>
      <w:r w:rsidR="00574117">
        <w:rPr>
          <w:rFonts w:ascii="Arial" w:eastAsia="Times New Roman" w:hAnsi="Arial" w:cs="Arial"/>
          <w:sz w:val="20"/>
          <w:szCs w:val="20"/>
        </w:rPr>
        <w:t xml:space="preserve"> </w:t>
      </w:r>
      <w:r w:rsidR="00574117">
        <w:rPr>
          <w:rFonts w:ascii="Arial" w:eastAsia="Times New Roman" w:hAnsi="Arial" w:cs="Arial"/>
          <w:b/>
          <w:bCs/>
          <w:sz w:val="20"/>
          <w:szCs w:val="20"/>
        </w:rPr>
        <w:t>Skład i postać:</w:t>
      </w:r>
      <w:r w:rsidR="00574117">
        <w:rPr>
          <w:rFonts w:ascii="Arial" w:eastAsia="Times New Roman" w:hAnsi="Arial" w:cs="Arial"/>
          <w:sz w:val="20"/>
          <w:szCs w:val="20"/>
        </w:rPr>
        <w:t xml:space="preserve"> Każda tabletka zawiera 500 mg metamizolu sodowego jednowodnego. Substancja pomocnicza o znanym działaniu: sód. Każda tabletka zawiera 34,5 mg (1,5 mmol) sodu. Tabletki barwy białej lub prawie białej, podłużne, obustronnie wypukłe. </w:t>
      </w:r>
      <w:r w:rsidR="00574117">
        <w:rPr>
          <w:rFonts w:ascii="Arial" w:eastAsia="Times New Roman" w:hAnsi="Arial" w:cs="Arial"/>
          <w:b/>
          <w:bCs/>
          <w:sz w:val="20"/>
          <w:szCs w:val="20"/>
        </w:rPr>
        <w:t>Wskazania:</w:t>
      </w:r>
      <w:r w:rsidR="00574117">
        <w:rPr>
          <w:rFonts w:ascii="Arial" w:eastAsia="Times New Roman" w:hAnsi="Arial" w:cs="Arial"/>
          <w:sz w:val="20"/>
          <w:szCs w:val="20"/>
        </w:rPr>
        <w:t xml:space="preserve"> Ból różnego pochodzenia o dużym nasileniu, gorączka, gdy zastosowanie innych środków jest przeciwwskazane lub nieskuteczne. </w:t>
      </w:r>
      <w:r w:rsidR="00574117">
        <w:rPr>
          <w:rFonts w:ascii="Arial" w:eastAsia="Times New Roman" w:hAnsi="Arial" w:cs="Arial"/>
          <w:b/>
          <w:bCs/>
          <w:sz w:val="20"/>
          <w:szCs w:val="20"/>
        </w:rPr>
        <w:t>Przeciwwskazania:</w:t>
      </w:r>
      <w:r w:rsidR="00574117">
        <w:rPr>
          <w:rFonts w:ascii="Arial" w:eastAsia="Times New Roman" w:hAnsi="Arial" w:cs="Arial"/>
          <w:sz w:val="20"/>
          <w:szCs w:val="20"/>
        </w:rPr>
        <w:t xml:space="preserve"> Nadwrażliwość na metamizol, inne pochodne pirazolonu i pirazolidyny, np. produkty lecznicze zawierające propyfenazon, fenazon lub fenylobutazon (szczególnie u pacjentów, u których po zastosowaniu któregoś z tych leków wystąpiła agranulocytoza) lub na którąkolwiek substancję pomocniczą leku. Pacjenci z rozpoznanym zespołem astmy analgetycznej lub znaną nietolerancją na leki przeciwbólowe objawiające się pokrzywką, obrzękiem naczynioworuchowym, tj. pacjenci, którzy reagują skurczem oskrzeli lub inną reakcją anafilaktoidalną na salicylany, paracetamol lub inne nieopioidowe leki przeciwbólowe, w tym niesteroidowe leki przeciwzapalne (NLPZ), takie jak: diklofenak, ibuprofen, indometacyna lub naproksen. Zaburzenia czynności szpiku kostnego (np. po leczeniu cytostatykami) oraz zmiany w obrazie morfologicznym krwi (agranulocytoza, leukopenia, niedokrwistość). Ostra niewydolność nerek lub wątroby, ostra porfiria wątrobowa. Wrodzony niedobór dehydrogenazy glukozo-6-fosforanowej. Stosowanie leków z grupy pochodnych pirazolonu i pirazolidyny (np. fenylobutazon, propyfenazon). Trzeci trymestr ciąży. </w:t>
      </w:r>
      <w:r w:rsidR="00574117">
        <w:rPr>
          <w:rFonts w:ascii="Arial" w:eastAsia="Times New Roman" w:hAnsi="Arial" w:cs="Arial"/>
          <w:b/>
          <w:bCs/>
          <w:sz w:val="20"/>
          <w:szCs w:val="20"/>
        </w:rPr>
        <w:t>Podmiot odpowiedzialny:</w:t>
      </w:r>
      <w:r w:rsidR="00574117">
        <w:rPr>
          <w:rFonts w:ascii="Arial" w:eastAsia="Times New Roman" w:hAnsi="Arial" w:cs="Arial"/>
          <w:sz w:val="20"/>
          <w:szCs w:val="20"/>
        </w:rPr>
        <w:t xml:space="preserve"> Zakłady Farmaceutyczne Polpharma S.A. ChPL: 202</w:t>
      </w:r>
      <w:r w:rsidR="00816238">
        <w:rPr>
          <w:rFonts w:ascii="Arial" w:eastAsia="Times New Roman" w:hAnsi="Arial" w:cs="Arial"/>
          <w:sz w:val="20"/>
          <w:szCs w:val="20"/>
        </w:rPr>
        <w:t>2</w:t>
      </w:r>
      <w:r w:rsidR="00574117">
        <w:rPr>
          <w:rFonts w:ascii="Arial" w:eastAsia="Times New Roman" w:hAnsi="Arial" w:cs="Arial"/>
          <w:sz w:val="20"/>
          <w:szCs w:val="20"/>
        </w:rPr>
        <w:t>.04.1</w:t>
      </w:r>
      <w:r w:rsidR="00816238">
        <w:rPr>
          <w:rFonts w:ascii="Arial" w:eastAsia="Times New Roman" w:hAnsi="Arial" w:cs="Arial"/>
          <w:sz w:val="20"/>
          <w:szCs w:val="20"/>
        </w:rPr>
        <w:t>3</w:t>
      </w:r>
      <w:r w:rsidR="00574117">
        <w:rPr>
          <w:rFonts w:ascii="Arial" w:eastAsia="Times New Roman" w:hAnsi="Arial" w:cs="Arial"/>
          <w:sz w:val="20"/>
          <w:szCs w:val="20"/>
        </w:rPr>
        <w:t>.</w:t>
      </w:r>
    </w:p>
    <w:p w14:paraId="0A61F6BC" w14:textId="2FA84BC7" w:rsidR="00886D2C" w:rsidRPr="00B25BA7" w:rsidRDefault="00886D2C" w:rsidP="00B25BA7">
      <w:pPr>
        <w:jc w:val="both"/>
        <w:rPr>
          <w:rFonts w:ascii="Arial" w:eastAsia="Times New Roman" w:hAnsi="Arial" w:cs="Arial"/>
          <w:sz w:val="20"/>
          <w:szCs w:val="20"/>
        </w:rPr>
      </w:pPr>
    </w:p>
    <w:p w14:paraId="0A61F6BD" w14:textId="77777777" w:rsidR="00886D2C" w:rsidRPr="002404D8" w:rsidRDefault="00886D2C">
      <w:pPr>
        <w:rPr>
          <w:rFonts w:ascii="Arial" w:eastAsia="Times New Roman" w:hAnsi="Arial" w:cs="Arial"/>
          <w:sz w:val="20"/>
          <w:szCs w:val="20"/>
        </w:rPr>
      </w:pPr>
    </w:p>
    <w:p w14:paraId="11C57A8B" w14:textId="699D47A9" w:rsidR="00816238" w:rsidRDefault="00816238" w:rsidP="00816238">
      <w:pPr>
        <w:pStyle w:val="Akapitzlist"/>
        <w:numPr>
          <w:ilvl w:val="0"/>
          <w:numId w:val="9"/>
        </w:numPr>
        <w:rPr>
          <w:rFonts w:ascii="Arial" w:eastAsia="Times New Roman" w:hAnsi="Arial" w:cs="Arial"/>
          <w:sz w:val="16"/>
          <w:szCs w:val="16"/>
          <w:lang w:val="en-US"/>
        </w:rPr>
      </w:pPr>
      <w:r w:rsidRPr="00BD6A2D">
        <w:rPr>
          <w:rFonts w:ascii="Arial" w:eastAsia="Times New Roman" w:hAnsi="Arial" w:cs="Arial"/>
          <w:sz w:val="16"/>
          <w:szCs w:val="16"/>
          <w:lang w:val="en-US"/>
        </w:rPr>
        <w:t xml:space="preserve">IQVIA Poland Pharmascope </w:t>
      </w:r>
      <w:r>
        <w:rPr>
          <w:rFonts w:ascii="Arial" w:eastAsia="Times New Roman" w:hAnsi="Arial" w:cs="Arial"/>
          <w:sz w:val="16"/>
          <w:szCs w:val="16"/>
          <w:lang w:val="en-US"/>
        </w:rPr>
        <w:t>05/2022</w:t>
      </w:r>
      <w:r w:rsidRPr="00BD6A2D">
        <w:rPr>
          <w:rFonts w:ascii="Arial" w:eastAsia="Times New Roman" w:hAnsi="Arial" w:cs="Arial"/>
          <w:sz w:val="16"/>
          <w:szCs w:val="16"/>
          <w:lang w:val="en-US"/>
        </w:rPr>
        <w:t xml:space="preserve">, 02A1 GENERAL PAIN RELIEF-ADULT.,MOL: METAMIZOLE SODIUM, Units, Value(PLN), MAT </w:t>
      </w:r>
      <w:r>
        <w:rPr>
          <w:rFonts w:ascii="Arial" w:eastAsia="Times New Roman" w:hAnsi="Arial" w:cs="Arial"/>
          <w:sz w:val="16"/>
          <w:szCs w:val="16"/>
          <w:lang w:val="en-US"/>
        </w:rPr>
        <w:t>05/</w:t>
      </w:r>
      <w:r w:rsidRPr="00BD6A2D">
        <w:rPr>
          <w:rFonts w:ascii="Arial" w:eastAsia="Times New Roman" w:hAnsi="Arial" w:cs="Arial"/>
          <w:sz w:val="16"/>
          <w:szCs w:val="16"/>
          <w:lang w:val="en-US"/>
        </w:rPr>
        <w:t>20</w:t>
      </w:r>
      <w:r>
        <w:rPr>
          <w:rFonts w:ascii="Arial" w:eastAsia="Times New Roman" w:hAnsi="Arial" w:cs="Arial"/>
          <w:sz w:val="16"/>
          <w:szCs w:val="16"/>
          <w:lang w:val="en-US"/>
        </w:rPr>
        <w:t>22</w:t>
      </w:r>
      <w:r w:rsidRPr="00BD6A2D">
        <w:rPr>
          <w:rFonts w:ascii="Arial" w:eastAsia="Times New Roman" w:hAnsi="Arial" w:cs="Arial"/>
          <w:sz w:val="16"/>
          <w:szCs w:val="16"/>
          <w:lang w:val="en-US"/>
        </w:rPr>
        <w:t xml:space="preserve"> © 202</w:t>
      </w:r>
      <w:r>
        <w:rPr>
          <w:rFonts w:ascii="Arial" w:eastAsia="Times New Roman" w:hAnsi="Arial" w:cs="Arial"/>
          <w:sz w:val="16"/>
          <w:szCs w:val="16"/>
          <w:lang w:val="en-US"/>
        </w:rPr>
        <w:t>2</w:t>
      </w:r>
      <w:r w:rsidRPr="00BD6A2D">
        <w:rPr>
          <w:rFonts w:ascii="Arial" w:eastAsia="Times New Roman" w:hAnsi="Arial" w:cs="Arial"/>
          <w:sz w:val="16"/>
          <w:szCs w:val="16"/>
          <w:lang w:val="en-US"/>
        </w:rPr>
        <w:t xml:space="preserve"> IQVIA and its affiliates;</w:t>
      </w:r>
    </w:p>
    <w:p w14:paraId="343F5D9B" w14:textId="77777777" w:rsidR="00BD6A2D" w:rsidRPr="00BD6A2D" w:rsidRDefault="00BD6A2D" w:rsidP="00BD6A2D">
      <w:pPr>
        <w:pStyle w:val="Akapitzlist"/>
        <w:rPr>
          <w:rFonts w:ascii="Arial" w:eastAsiaTheme="minorHAnsi" w:hAnsi="Arial" w:cs="Arial"/>
          <w:i/>
          <w:iCs/>
          <w:color w:val="000000"/>
          <w:sz w:val="16"/>
          <w:szCs w:val="16"/>
          <w:lang w:val="en-US" w:eastAsia="en-US"/>
        </w:rPr>
      </w:pPr>
    </w:p>
    <w:p w14:paraId="0A61F6C3" w14:textId="206C27D6" w:rsidR="00886D2C" w:rsidRPr="00B25BA7" w:rsidRDefault="00886D2C" w:rsidP="00BD6A2D">
      <w:pPr>
        <w:jc w:val="both"/>
        <w:rPr>
          <w:rFonts w:ascii="Arial" w:eastAsia="Times New Roman" w:hAnsi="Arial" w:cs="Arial"/>
        </w:rPr>
      </w:pPr>
      <w:r w:rsidRPr="00B25BA7">
        <w:rPr>
          <w:rFonts w:ascii="Arial" w:eastAsia="Times New Roman" w:hAnsi="Arial" w:cs="Arial"/>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7040FB14" w14:textId="77777777" w:rsidR="00B25BA7" w:rsidRPr="00B25BA7" w:rsidRDefault="00B25BA7" w:rsidP="0004389F">
      <w:pPr>
        <w:rPr>
          <w:rFonts w:ascii="Arial" w:eastAsia="Times New Roman" w:hAnsi="Arial" w:cs="Arial"/>
        </w:rPr>
      </w:pPr>
    </w:p>
    <w:p w14:paraId="451A059B" w14:textId="76C13911" w:rsidR="00B25BA7" w:rsidRPr="00B25BA7" w:rsidRDefault="00B25BA7" w:rsidP="0004389F">
      <w:pPr>
        <w:rPr>
          <w:rFonts w:ascii="Arial" w:eastAsia="Times New Roman" w:hAnsi="Arial" w:cs="Arial"/>
        </w:rPr>
      </w:pPr>
      <w:r w:rsidRPr="00B25BA7">
        <w:rPr>
          <w:rFonts w:ascii="Arial" w:eastAsia="Times New Roman" w:hAnsi="Arial" w:cs="Arial"/>
        </w:rPr>
        <w:t>OTC/PYR/</w:t>
      </w:r>
      <w:r w:rsidR="004928FA">
        <w:rPr>
          <w:rFonts w:ascii="Arial" w:eastAsia="Times New Roman" w:hAnsi="Arial" w:cs="Arial"/>
        </w:rPr>
        <w:t>4</w:t>
      </w:r>
      <w:r w:rsidR="00D0730D">
        <w:rPr>
          <w:rFonts w:ascii="Arial" w:eastAsia="Times New Roman" w:hAnsi="Arial" w:cs="Arial"/>
        </w:rPr>
        <w:t>49</w:t>
      </w:r>
      <w:r w:rsidRPr="00B25BA7">
        <w:rPr>
          <w:rFonts w:ascii="Arial" w:eastAsia="Times New Roman" w:hAnsi="Arial" w:cs="Arial"/>
        </w:rPr>
        <w:t>/0</w:t>
      </w:r>
      <w:r w:rsidR="00D0730D">
        <w:rPr>
          <w:rFonts w:ascii="Arial" w:eastAsia="Times New Roman" w:hAnsi="Arial" w:cs="Arial"/>
        </w:rPr>
        <w:t>7</w:t>
      </w:r>
      <w:r w:rsidRPr="00B25BA7">
        <w:rPr>
          <w:rFonts w:ascii="Arial" w:eastAsia="Times New Roman" w:hAnsi="Arial" w:cs="Arial"/>
        </w:rPr>
        <w:t>-20</w:t>
      </w:r>
      <w:r w:rsidR="00BD6A2D">
        <w:rPr>
          <w:rFonts w:ascii="Arial" w:eastAsia="Times New Roman" w:hAnsi="Arial" w:cs="Arial"/>
        </w:rPr>
        <w:t>2</w:t>
      </w:r>
      <w:r w:rsidR="00D0730D">
        <w:rPr>
          <w:rFonts w:ascii="Arial" w:eastAsia="Times New Roman" w:hAnsi="Arial" w:cs="Arial"/>
        </w:rPr>
        <w:t>2</w:t>
      </w:r>
    </w:p>
    <w:sectPr w:rsidR="00B25BA7" w:rsidRPr="00B25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C3DD" w14:textId="77777777" w:rsidR="00D34DED" w:rsidRDefault="00D34DED" w:rsidP="004928FA">
      <w:r>
        <w:separator/>
      </w:r>
    </w:p>
  </w:endnote>
  <w:endnote w:type="continuationSeparator" w:id="0">
    <w:p w14:paraId="5711B880" w14:textId="77777777" w:rsidR="00D34DED" w:rsidRDefault="00D34DED" w:rsidP="0049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D5C1" w14:textId="0B91040B" w:rsidR="004928FA" w:rsidRDefault="004928FA">
    <w:pPr>
      <w:pStyle w:val="Stopka"/>
    </w:pPr>
    <w:r>
      <w:rPr>
        <w:noProof/>
      </w:rPr>
      <mc:AlternateContent>
        <mc:Choice Requires="wps">
          <w:drawing>
            <wp:anchor distT="0" distB="0" distL="114300" distR="114300" simplePos="0" relativeHeight="251658240" behindDoc="0" locked="0" layoutInCell="0" allowOverlap="1" wp14:anchorId="5554D0B1" wp14:editId="13ECC66E">
              <wp:simplePos x="0" y="0"/>
              <wp:positionH relativeFrom="page">
                <wp:posOffset>0</wp:posOffset>
              </wp:positionH>
              <wp:positionV relativeFrom="page">
                <wp:posOffset>10228580</wp:posOffset>
              </wp:positionV>
              <wp:extent cx="7560310" cy="273050"/>
              <wp:effectExtent l="0" t="0" r="0" b="12700"/>
              <wp:wrapNone/>
              <wp:docPr id="1" name="MSIPCM45ca40dc8b67620aa651deaf"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FEA59" w14:textId="446D1A04" w:rsidR="004928FA" w:rsidRPr="00816238" w:rsidRDefault="00816238" w:rsidP="00816238">
                          <w:pPr>
                            <w:rPr>
                              <w:rFonts w:ascii="Calibri" w:hAnsi="Calibri" w:cs="Calibri"/>
                              <w:color w:val="000000"/>
                              <w:sz w:val="16"/>
                            </w:rPr>
                          </w:pPr>
                          <w:r w:rsidRPr="00816238">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54D0B1" id="_x0000_t202" coordsize="21600,21600" o:spt="202" path="m,l,21600r21600,l21600,xe">
              <v:stroke joinstyle="miter"/>
              <v:path gradientshapeok="t" o:connecttype="rect"/>
            </v:shapetype>
            <v:shape id="MSIPCM45ca40dc8b67620aa651deaf" o:spid="_x0000_s1026" type="#_x0000_t202" alt="{&quot;HashCode&quot;:-1783802344,&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49DFEA59" w14:textId="446D1A04" w:rsidR="004928FA" w:rsidRPr="00816238" w:rsidRDefault="00816238" w:rsidP="00816238">
                    <w:pPr>
                      <w:rPr>
                        <w:rFonts w:ascii="Calibri" w:hAnsi="Calibri" w:cs="Calibri"/>
                        <w:color w:val="000000"/>
                        <w:sz w:val="16"/>
                      </w:rPr>
                    </w:pPr>
                    <w:r w:rsidRPr="00816238">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1965" w14:textId="77777777" w:rsidR="00D34DED" w:rsidRDefault="00D34DED" w:rsidP="004928FA">
      <w:r>
        <w:separator/>
      </w:r>
    </w:p>
  </w:footnote>
  <w:footnote w:type="continuationSeparator" w:id="0">
    <w:p w14:paraId="14D5FFB1" w14:textId="77777777" w:rsidR="00D34DED" w:rsidRDefault="00D34DED" w:rsidP="0049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5D3"/>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1B6895"/>
    <w:multiLevelType w:val="hybridMultilevel"/>
    <w:tmpl w:val="AE7A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B12"/>
    <w:multiLevelType w:val="hybridMultilevel"/>
    <w:tmpl w:val="CEC6370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095864"/>
    <w:multiLevelType w:val="hybridMultilevel"/>
    <w:tmpl w:val="D9285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4543ED5"/>
    <w:multiLevelType w:val="hybridMultilevel"/>
    <w:tmpl w:val="636C8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196679"/>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C930A1"/>
    <w:multiLevelType w:val="hybridMultilevel"/>
    <w:tmpl w:val="14B0E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C8B2A07"/>
    <w:multiLevelType w:val="hybridMultilevel"/>
    <w:tmpl w:val="DCAC2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E4F674E"/>
    <w:multiLevelType w:val="hybridMultilevel"/>
    <w:tmpl w:val="84D20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7455393">
    <w:abstractNumId w:val="1"/>
  </w:num>
  <w:num w:numId="2" w16cid:durableId="1681740858">
    <w:abstractNumId w:val="6"/>
  </w:num>
  <w:num w:numId="3" w16cid:durableId="1061975228">
    <w:abstractNumId w:val="5"/>
  </w:num>
  <w:num w:numId="4" w16cid:durableId="659702239">
    <w:abstractNumId w:val="4"/>
  </w:num>
  <w:num w:numId="5" w16cid:durableId="969088352">
    <w:abstractNumId w:val="7"/>
  </w:num>
  <w:num w:numId="6" w16cid:durableId="1906841474">
    <w:abstractNumId w:val="0"/>
  </w:num>
  <w:num w:numId="7" w16cid:durableId="951471081">
    <w:abstractNumId w:val="2"/>
  </w:num>
  <w:num w:numId="8" w16cid:durableId="1853185196">
    <w:abstractNumId w:val="8"/>
  </w:num>
  <w:num w:numId="9" w16cid:durableId="534275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2C"/>
    <w:rsid w:val="00004E61"/>
    <w:rsid w:val="0004389F"/>
    <w:rsid w:val="0004505B"/>
    <w:rsid w:val="000C5784"/>
    <w:rsid w:val="00175C0F"/>
    <w:rsid w:val="002404D8"/>
    <w:rsid w:val="00290BD4"/>
    <w:rsid w:val="002B4640"/>
    <w:rsid w:val="003821A2"/>
    <w:rsid w:val="003E5E9C"/>
    <w:rsid w:val="004928FA"/>
    <w:rsid w:val="005004C5"/>
    <w:rsid w:val="005113A6"/>
    <w:rsid w:val="00574117"/>
    <w:rsid w:val="00816238"/>
    <w:rsid w:val="00886D2C"/>
    <w:rsid w:val="00A403AC"/>
    <w:rsid w:val="00B25BA7"/>
    <w:rsid w:val="00B66174"/>
    <w:rsid w:val="00BD6A2D"/>
    <w:rsid w:val="00CA1EDB"/>
    <w:rsid w:val="00D0730D"/>
    <w:rsid w:val="00D34DED"/>
    <w:rsid w:val="00E6418E"/>
    <w:rsid w:val="00E7437A"/>
    <w:rsid w:val="00F21B41"/>
    <w:rsid w:val="00FD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F6AA"/>
  <w15:chartTrackingRefBased/>
  <w15:docId w15:val="{A71B547E-5B0F-42C3-AA33-93C5200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6D2C"/>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6D2C"/>
    <w:pPr>
      <w:ind w:left="720"/>
      <w:contextualSpacing/>
    </w:pPr>
  </w:style>
  <w:style w:type="paragraph" w:customStyle="1" w:styleId="Default">
    <w:name w:val="Default"/>
    <w:rsid w:val="002B4640"/>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B25BA7"/>
    <w:rPr>
      <w:color w:val="0000FF"/>
      <w:u w:val="single"/>
    </w:rPr>
  </w:style>
  <w:style w:type="paragraph" w:styleId="Podtytu">
    <w:name w:val="Subtitle"/>
    <w:basedOn w:val="Normalny"/>
    <w:next w:val="Normalny"/>
    <w:link w:val="PodtytuZnak"/>
    <w:uiPriority w:val="11"/>
    <w:qFormat/>
    <w:rsid w:val="004928FA"/>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928FA"/>
    <w:rPr>
      <w:rFonts w:eastAsiaTheme="minorEastAsia"/>
      <w:color w:val="5A5A5A" w:themeColor="text1" w:themeTint="A5"/>
      <w:spacing w:val="15"/>
      <w:lang w:eastAsia="pl-PL"/>
    </w:rPr>
  </w:style>
  <w:style w:type="paragraph" w:styleId="Nagwek">
    <w:name w:val="header"/>
    <w:basedOn w:val="Normalny"/>
    <w:link w:val="NagwekZnak"/>
    <w:uiPriority w:val="99"/>
    <w:unhideWhenUsed/>
    <w:rsid w:val="004928FA"/>
    <w:pPr>
      <w:tabs>
        <w:tab w:val="center" w:pos="4536"/>
        <w:tab w:val="right" w:pos="9072"/>
      </w:tabs>
    </w:pPr>
  </w:style>
  <w:style w:type="character" w:customStyle="1" w:styleId="NagwekZnak">
    <w:name w:val="Nagłówek Znak"/>
    <w:basedOn w:val="Domylnaczcionkaakapitu"/>
    <w:link w:val="Nagwek"/>
    <w:uiPriority w:val="99"/>
    <w:rsid w:val="004928F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4928FA"/>
    <w:pPr>
      <w:tabs>
        <w:tab w:val="center" w:pos="4536"/>
        <w:tab w:val="right" w:pos="9072"/>
      </w:tabs>
    </w:pPr>
  </w:style>
  <w:style w:type="character" w:customStyle="1" w:styleId="StopkaZnak">
    <w:name w:val="Stopka Znak"/>
    <w:basedOn w:val="Domylnaczcionkaakapitu"/>
    <w:link w:val="Stopka"/>
    <w:uiPriority w:val="99"/>
    <w:rsid w:val="004928FA"/>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467">
      <w:bodyDiv w:val="1"/>
      <w:marLeft w:val="0"/>
      <w:marRight w:val="0"/>
      <w:marTop w:val="0"/>
      <w:marBottom w:val="0"/>
      <w:divBdr>
        <w:top w:val="none" w:sz="0" w:space="0" w:color="auto"/>
        <w:left w:val="none" w:sz="0" w:space="0" w:color="auto"/>
        <w:bottom w:val="none" w:sz="0" w:space="0" w:color="auto"/>
        <w:right w:val="none" w:sz="0" w:space="0" w:color="auto"/>
      </w:divBdr>
    </w:div>
    <w:div w:id="948005838">
      <w:bodyDiv w:val="1"/>
      <w:marLeft w:val="0"/>
      <w:marRight w:val="0"/>
      <w:marTop w:val="0"/>
      <w:marBottom w:val="0"/>
      <w:divBdr>
        <w:top w:val="none" w:sz="0" w:space="0" w:color="auto"/>
        <w:left w:val="none" w:sz="0" w:space="0" w:color="auto"/>
        <w:bottom w:val="none" w:sz="0" w:space="0" w:color="auto"/>
        <w:right w:val="none" w:sz="0" w:space="0" w:color="auto"/>
      </w:divBdr>
    </w:div>
    <w:div w:id="12446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3C346-87BF-46A7-8099-AD87B28CBB22}">
  <ds:schemaRefs>
    <ds:schemaRef ds:uri="http://schemas.microsoft.com/sharepoint/v3/contenttype/forms"/>
  </ds:schemaRefs>
</ds:datastoreItem>
</file>

<file path=customXml/itemProps2.xml><?xml version="1.0" encoding="utf-8"?>
<ds:datastoreItem xmlns:ds="http://schemas.openxmlformats.org/officeDocument/2006/customXml" ds:itemID="{8CECBEE9-3145-4C93-BD21-D40693752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F53708-4D6B-4C07-B3BD-70F5633EC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Niegowska Ewa</dc:creator>
  <cp:keywords/>
  <dc:description/>
  <cp:lastModifiedBy>Wojasiewicz Joanna</cp:lastModifiedBy>
  <cp:revision>3</cp:revision>
  <dcterms:created xsi:type="dcterms:W3CDTF">2022-07-12T15:42:00Z</dcterms:created>
  <dcterms:modified xsi:type="dcterms:W3CDTF">2022-07-12T15:44:00Z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0x010100553E7ECDC3E69D44940611E92D412732</vt:lpwstr>
  </property>
  <property fmtid="{D5CDD505-2E9C-101B-9397-08002B2CF9AE}" pid="3" name="MSIP_Label_8fbf575c-36da-44f7-a26b-6804f2bce3ff_Enabled">
    <vt:lpwstr>true</vt:lpwstr>
  </property>
  <property fmtid="{D5CDD505-2E9C-101B-9397-08002B2CF9AE}" pid="4" name="MSIP_Label_8fbf575c-36da-44f7-a26b-6804f2bce3ff_SetDate">
    <vt:lpwstr>2022-07-12T15:42:28Z</vt:lpwstr>
  </property>
  <property fmtid="{D5CDD505-2E9C-101B-9397-08002B2CF9AE}" pid="5" name="MSIP_Label_8fbf575c-36da-44f7-a26b-6804f2bce3ff_Method">
    <vt:lpwstr>Standard</vt:lpwstr>
  </property>
  <property fmtid="{D5CDD505-2E9C-101B-9397-08002B2CF9AE}" pid="6" name="MSIP_Label_8fbf575c-36da-44f7-a26b-6804f2bce3ff_Name">
    <vt:lpwstr>8fbf575c-36da-44f7-a26b-6804f2bce3ff</vt:lpwstr>
  </property>
  <property fmtid="{D5CDD505-2E9C-101B-9397-08002B2CF9AE}" pid="7" name="MSIP_Label_8fbf575c-36da-44f7-a26b-6804f2bce3ff_SiteId">
    <vt:lpwstr>edf3cfc4-ee60-4b92-a2cb-da2c123fc895</vt:lpwstr>
  </property>
  <property fmtid="{D5CDD505-2E9C-101B-9397-08002B2CF9AE}" pid="8" name="MSIP_Label_8fbf575c-36da-44f7-a26b-6804f2bce3ff_ActionId">
    <vt:lpwstr>a581fb6f-346a-4f3b-9241-3b515b6aca91</vt:lpwstr>
  </property>
  <property fmtid="{D5CDD505-2E9C-101B-9397-08002B2CF9AE}" pid="9" name="MSIP_Label_8fbf575c-36da-44f7-a26b-6804f2bce3ff_ContentBits">
    <vt:lpwstr>2</vt:lpwstr>
  </property>
</Properties>
</file>