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9FE3" w14:textId="73808FF7" w:rsidR="00513F16" w:rsidRDefault="00513F16" w:rsidP="00513F16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EDD2D" wp14:editId="47C7D202">
                <wp:simplePos x="0" y="0"/>
                <wp:positionH relativeFrom="column">
                  <wp:posOffset>-4445</wp:posOffset>
                </wp:positionH>
                <wp:positionV relativeFrom="paragraph">
                  <wp:posOffset>224155</wp:posOffset>
                </wp:positionV>
                <wp:extent cx="3124200" cy="1495425"/>
                <wp:effectExtent l="0" t="0" r="0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45C305" w14:textId="295CDB61" w:rsidR="00513F16" w:rsidRPr="00513F16" w:rsidRDefault="00513F16" w:rsidP="00513F16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2F5496" w:themeColor="accent1" w:themeShade="BF"/>
                                <w:sz w:val="56"/>
                                <w:szCs w:val="56"/>
                                <w:lang w:val="pl-PL"/>
                              </w:rPr>
                            </w:pPr>
                            <w:bookmarkStart w:id="0" w:name="_Hlk74650582"/>
                            <w:bookmarkEnd w:id="0"/>
                            <w:r w:rsidRPr="00513F16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  <w:lang w:val="pl-PL"/>
                              </w:rPr>
                              <w:t>SILNIEJSZY</w:t>
                            </w:r>
                          </w:p>
                          <w:p w14:paraId="6C574917" w14:textId="526BC97C" w:rsidR="00513F16" w:rsidRPr="00513F16" w:rsidRDefault="00513F16" w:rsidP="00513F1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2F5496" w:themeColor="accent1" w:themeShade="BF"/>
                                <w:sz w:val="48"/>
                                <w:szCs w:val="48"/>
                                <w:lang w:val="pl-PL"/>
                              </w:rPr>
                            </w:pPr>
                            <w:r w:rsidRPr="00513F16">
                              <w:rPr>
                                <w:rFonts w:ascii="Calibri" w:eastAsia="Calibri" w:hAnsi="Calibri" w:cs="Times New Roman"/>
                                <w:color w:val="2F5496" w:themeColor="accent1" w:themeShade="BF"/>
                                <w:sz w:val="36"/>
                                <w:szCs w:val="36"/>
                                <w:lang w:val="pl-PL"/>
                              </w:rPr>
                              <w:t>OD</w:t>
                            </w:r>
                          </w:p>
                          <w:p w14:paraId="6B9BF2FC" w14:textId="6A58D826" w:rsidR="00513F16" w:rsidRDefault="00513F16" w:rsidP="00513F1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7030A0"/>
                                <w:sz w:val="52"/>
                                <w:szCs w:val="52"/>
                                <w:lang w:val="pl-PL"/>
                              </w:rPr>
                            </w:pPr>
                            <w:r w:rsidRPr="00513F16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7030A0"/>
                                <w:sz w:val="52"/>
                                <w:szCs w:val="52"/>
                                <w:lang w:val="pl-PL"/>
                              </w:rPr>
                              <w:t>OPRYSZCZKI</w:t>
                            </w:r>
                          </w:p>
                          <w:p w14:paraId="6D6927AF" w14:textId="77777777" w:rsidR="00513F16" w:rsidRPr="00513F16" w:rsidRDefault="00513F16" w:rsidP="00513F16">
                            <w:pPr>
                              <w:spacing w:after="0" w:line="256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56"/>
                                <w:szCs w:val="56"/>
                                <w:lang w:val="pl-PL"/>
                              </w:rPr>
                            </w:pPr>
                          </w:p>
                          <w:p w14:paraId="290F813D" w14:textId="77777777" w:rsidR="00513F16" w:rsidRDefault="00513F16" w:rsidP="00513F16">
                            <w:pPr>
                              <w:rPr>
                                <w:color w:val="1F497D"/>
                                <w:lang w:val="pl-PL"/>
                              </w:rPr>
                            </w:pPr>
                            <w:bookmarkStart w:id="1" w:name="_Hlk74650569"/>
                          </w:p>
                          <w:p w14:paraId="1A5C13C1" w14:textId="77777777" w:rsidR="00513F16" w:rsidRPr="00A62D0B" w:rsidRDefault="00513F16" w:rsidP="00513F16">
                            <w:pPr>
                              <w:rPr>
                                <w:color w:val="1F497D"/>
                                <w:lang w:val="pl-PL"/>
                              </w:rPr>
                            </w:pPr>
                          </w:p>
                          <w:bookmarkEnd w:id="1"/>
                          <w:p w14:paraId="2F4CA89F" w14:textId="77777777" w:rsidR="00513F16" w:rsidRPr="00513F16" w:rsidRDefault="00513F16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EDD2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.35pt;margin-top:17.65pt;width:246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" fillcolor="white [3201]" stroked="f" strokeweight=".5pt">
                <v:textbox>
                  <w:txbxContent>
                    <w:p w14:paraId="0145C305" w14:textId="295CDB61" w:rsidR="00513F16" w:rsidRPr="00513F16" w:rsidRDefault="00513F16" w:rsidP="00513F16">
                      <w:pPr>
                        <w:spacing w:line="240" w:lineRule="auto"/>
                        <w:jc w:val="center"/>
                        <w:rPr>
                          <w:rFonts w:ascii="Calibri" w:eastAsia="Calibri" w:hAnsi="Calibri" w:cs="Times New Roman"/>
                          <w:color w:val="2F5496" w:themeColor="accent1" w:themeShade="BF"/>
                          <w:sz w:val="56"/>
                          <w:szCs w:val="56"/>
                          <w:lang w:val="pl-PL"/>
                        </w:rPr>
                      </w:pPr>
                      <w:bookmarkStart w:id="2" w:name="_Hlk74650582"/>
                      <w:bookmarkEnd w:id="2"/>
                      <w:r w:rsidRPr="00513F16">
                        <w:rPr>
                          <w:rFonts w:ascii="Calibri" w:eastAsia="Calibri" w:hAnsi="Calibri" w:cs="Times New Roman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  <w:lang w:val="pl-PL"/>
                        </w:rPr>
                        <w:t>SILNIEJSZY</w:t>
                      </w:r>
                    </w:p>
                    <w:p w14:paraId="6C574917" w14:textId="526BC97C" w:rsidR="00513F16" w:rsidRPr="00513F16" w:rsidRDefault="00513F16" w:rsidP="00513F16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2F5496" w:themeColor="accent1" w:themeShade="BF"/>
                          <w:sz w:val="48"/>
                          <w:szCs w:val="48"/>
                          <w:lang w:val="pl-PL"/>
                        </w:rPr>
                      </w:pPr>
                      <w:r w:rsidRPr="00513F16">
                        <w:rPr>
                          <w:rFonts w:ascii="Calibri" w:eastAsia="Calibri" w:hAnsi="Calibri" w:cs="Times New Roman"/>
                          <w:color w:val="2F5496" w:themeColor="accent1" w:themeShade="BF"/>
                          <w:sz w:val="36"/>
                          <w:szCs w:val="36"/>
                          <w:lang w:val="pl-PL"/>
                        </w:rPr>
                        <w:t>OD</w:t>
                      </w:r>
                    </w:p>
                    <w:p w14:paraId="6B9BF2FC" w14:textId="6A58D826" w:rsidR="00513F16" w:rsidRDefault="00513F16" w:rsidP="00513F16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bCs/>
                          <w:color w:val="7030A0"/>
                          <w:sz w:val="52"/>
                          <w:szCs w:val="52"/>
                          <w:lang w:val="pl-PL"/>
                        </w:rPr>
                      </w:pPr>
                      <w:r w:rsidRPr="00513F16">
                        <w:rPr>
                          <w:rFonts w:ascii="Calibri" w:eastAsia="Calibri" w:hAnsi="Calibri" w:cs="Times New Roman"/>
                          <w:b/>
                          <w:bCs/>
                          <w:color w:val="7030A0"/>
                          <w:sz w:val="52"/>
                          <w:szCs w:val="52"/>
                          <w:lang w:val="pl-PL"/>
                        </w:rPr>
                        <w:t>OPRYSZCZKI</w:t>
                      </w:r>
                    </w:p>
                    <w:p w14:paraId="6D6927AF" w14:textId="77777777" w:rsidR="00513F16" w:rsidRPr="00513F16" w:rsidRDefault="00513F16" w:rsidP="00513F16">
                      <w:pPr>
                        <w:spacing w:after="0" w:line="256" w:lineRule="auto"/>
                        <w:jc w:val="center"/>
                        <w:rPr>
                          <w:rFonts w:ascii="Calibri" w:eastAsia="Calibri" w:hAnsi="Calibri" w:cs="Times New Roman"/>
                          <w:sz w:val="56"/>
                          <w:szCs w:val="56"/>
                          <w:lang w:val="pl-PL"/>
                        </w:rPr>
                      </w:pPr>
                    </w:p>
                    <w:p w14:paraId="290F813D" w14:textId="77777777" w:rsidR="00513F16" w:rsidRDefault="00513F16" w:rsidP="00513F16">
                      <w:pPr>
                        <w:rPr>
                          <w:color w:val="1F497D"/>
                          <w:lang w:val="pl-PL"/>
                        </w:rPr>
                      </w:pPr>
                      <w:bookmarkStart w:id="3" w:name="_Hlk74650569"/>
                    </w:p>
                    <w:p w14:paraId="1A5C13C1" w14:textId="77777777" w:rsidR="00513F16" w:rsidRPr="00A62D0B" w:rsidRDefault="00513F16" w:rsidP="00513F16">
                      <w:pPr>
                        <w:rPr>
                          <w:color w:val="1F497D"/>
                          <w:lang w:val="pl-PL"/>
                        </w:rPr>
                      </w:pPr>
                    </w:p>
                    <w:bookmarkEnd w:id="3"/>
                    <w:p w14:paraId="2F4CA89F" w14:textId="77777777" w:rsidR="00513F16" w:rsidRPr="00513F16" w:rsidRDefault="00513F16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2F799F" wp14:editId="3F598F6B">
            <wp:extent cx="2799754" cy="1866900"/>
            <wp:effectExtent l="0" t="0" r="635" b="0"/>
            <wp:docPr id="2" name="Obraz 2" descr="Obraz zawierający tekst, tablica suchościer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tablica suchościerna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559" cy="187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8749D" w14:textId="2A850CF0" w:rsidR="00513F16" w:rsidRDefault="00513F16" w:rsidP="00513F16">
      <w:pPr>
        <w:jc w:val="both"/>
        <w:rPr>
          <w:color w:val="002060"/>
          <w:lang w:val="pl-PL"/>
        </w:rPr>
      </w:pPr>
      <w:r w:rsidRPr="00513F16">
        <w:rPr>
          <w:b/>
          <w:bCs/>
          <w:color w:val="002060"/>
          <w:sz w:val="32"/>
          <w:szCs w:val="32"/>
          <w:lang w:val="pl-PL"/>
        </w:rPr>
        <w:t xml:space="preserve">Heviran </w:t>
      </w:r>
      <w:r w:rsidRPr="00513F16">
        <w:rPr>
          <w:b/>
          <w:bCs/>
          <w:color w:val="7030A0"/>
          <w:sz w:val="32"/>
          <w:szCs w:val="32"/>
          <w:lang w:val="pl-PL"/>
        </w:rPr>
        <w:t>Comfort</w:t>
      </w:r>
      <w:r w:rsidRPr="00513F16">
        <w:rPr>
          <w:color w:val="002060"/>
          <w:lang w:val="pl-PL"/>
        </w:rPr>
        <w:t xml:space="preserve"> to acyklowir w tabletkach wskazany  w leczeniu nawrotowej opryszczki warg </w:t>
      </w:r>
      <w:r>
        <w:rPr>
          <w:color w:val="002060"/>
          <w:lang w:val="pl-PL"/>
        </w:rPr>
        <w:br/>
      </w:r>
      <w:r w:rsidRPr="00513F16">
        <w:rPr>
          <w:color w:val="002060"/>
          <w:lang w:val="pl-PL"/>
        </w:rPr>
        <w:t xml:space="preserve">i twarzy wywołanej przez wirus opryszczki pospolitej (Herpes simplex). </w:t>
      </w:r>
      <w:r w:rsidRPr="00513F16">
        <w:rPr>
          <w:b/>
          <w:bCs/>
          <w:color w:val="002060"/>
          <w:sz w:val="32"/>
          <w:szCs w:val="32"/>
          <w:lang w:val="pl-PL"/>
        </w:rPr>
        <w:t xml:space="preserve">Heviran </w:t>
      </w:r>
      <w:r w:rsidRPr="00513F16">
        <w:rPr>
          <w:b/>
          <w:bCs/>
          <w:color w:val="7030A0"/>
          <w:sz w:val="32"/>
          <w:szCs w:val="32"/>
          <w:lang w:val="pl-PL"/>
        </w:rPr>
        <w:t>Comfort</w:t>
      </w:r>
      <w:r w:rsidRPr="00513F16">
        <w:rPr>
          <w:color w:val="002060"/>
          <w:lang w:val="pl-PL"/>
        </w:rPr>
        <w:t xml:space="preserve"> może być stosowany u pacjentów, u których w przeszłości rozpoznano zakażenie wirusem opryszczki pospolitej.</w:t>
      </w:r>
      <w:r>
        <w:rPr>
          <w:color w:val="002060"/>
          <w:lang w:val="pl-PL"/>
        </w:rPr>
        <w:t xml:space="preserve"> </w:t>
      </w:r>
      <w:r w:rsidRPr="00513F16">
        <w:rPr>
          <w:b/>
          <w:bCs/>
          <w:color w:val="002060"/>
          <w:sz w:val="32"/>
          <w:szCs w:val="32"/>
          <w:lang w:val="pl-PL"/>
        </w:rPr>
        <w:t xml:space="preserve">Heviran </w:t>
      </w:r>
      <w:r w:rsidRPr="00513F16">
        <w:rPr>
          <w:b/>
          <w:bCs/>
          <w:color w:val="7030A0"/>
          <w:sz w:val="32"/>
          <w:szCs w:val="32"/>
          <w:lang w:val="pl-PL"/>
        </w:rPr>
        <w:t>Comfort</w:t>
      </w:r>
      <w:r w:rsidRPr="00513F16">
        <w:rPr>
          <w:color w:val="002060"/>
          <w:lang w:val="pl-PL"/>
        </w:rPr>
        <w:t xml:space="preserve"> </w:t>
      </w:r>
      <w:r w:rsidR="003D1094" w:rsidRPr="003D1094">
        <w:rPr>
          <w:color w:val="002060"/>
          <w:lang w:val="pl-PL"/>
        </w:rPr>
        <w:t>zwalcza wirusa już od 1. tabletki i przyspiesza gojenie nawet o 3 dni</w:t>
      </w:r>
      <w:r w:rsidR="003D1094">
        <w:rPr>
          <w:color w:val="002060"/>
          <w:lang w:val="pl-PL"/>
        </w:rPr>
        <w:t>*</w:t>
      </w:r>
    </w:p>
    <w:p w14:paraId="4D4E17E5" w14:textId="1EA5B8E1" w:rsidR="003D1094" w:rsidRPr="00513F16" w:rsidRDefault="003D1094" w:rsidP="00513F16">
      <w:pPr>
        <w:jc w:val="both"/>
        <w:rPr>
          <w:color w:val="002060"/>
          <w:lang w:val="pl-PL"/>
        </w:rPr>
      </w:pPr>
      <w:r w:rsidRPr="00B74602">
        <w:rPr>
          <w:color w:val="002060"/>
        </w:rPr>
        <w:t>*</w:t>
      </w:r>
      <w:r w:rsidR="00B74602" w:rsidRPr="00B74602">
        <w:t xml:space="preserve"> </w:t>
      </w:r>
      <w:r w:rsidR="00B74602" w:rsidRPr="00B74602">
        <w:rPr>
          <w:color w:val="002060"/>
        </w:rPr>
        <w:t xml:space="preserve">Raborn GW et al. Oral acyclovir and herpes labialis: a randomized, double-blind, placebo-controlled study. </w:t>
      </w:r>
      <w:r w:rsidR="00B74602" w:rsidRPr="00B74602">
        <w:rPr>
          <w:color w:val="002060"/>
          <w:lang w:val="pl-PL"/>
        </w:rPr>
        <w:t>J Am Dent Assoc. 1987; 115 (1): 38-42.</w:t>
      </w:r>
    </w:p>
    <w:p w14:paraId="1329B542" w14:textId="0400ABD0" w:rsidR="00513F16" w:rsidRPr="00513F16" w:rsidRDefault="00513F16" w:rsidP="00513F16">
      <w:pPr>
        <w:jc w:val="right"/>
        <w:rPr>
          <w:noProof/>
          <w:lang w:val="pl-PL"/>
        </w:rPr>
      </w:pPr>
      <w:r w:rsidRPr="00513F16">
        <w:rPr>
          <w:noProof/>
          <w:lang w:val="pl-PL"/>
        </w:rPr>
        <w:t xml:space="preserve">  </w:t>
      </w:r>
    </w:p>
    <w:p w14:paraId="2DFAAD5E" w14:textId="77777777" w:rsidR="00513F16" w:rsidRPr="00513F16" w:rsidRDefault="00513F16">
      <w:pPr>
        <w:rPr>
          <w:noProof/>
          <w:lang w:val="pl-PL"/>
        </w:rPr>
      </w:pPr>
    </w:p>
    <w:p w14:paraId="2DD8D36F" w14:textId="77777777" w:rsidR="00513F16" w:rsidRPr="00513F16" w:rsidRDefault="00513F16">
      <w:pPr>
        <w:rPr>
          <w:noProof/>
          <w:lang w:val="pl-PL"/>
        </w:rPr>
      </w:pPr>
    </w:p>
    <w:p w14:paraId="56AB49EF" w14:textId="77777777" w:rsidR="00513F16" w:rsidRDefault="00513F16" w:rsidP="00513F16">
      <w:pPr>
        <w:jc w:val="both"/>
        <w:rPr>
          <w:rFonts w:ascii="Arial" w:eastAsia="Times New Roman" w:hAnsi="Arial" w:cs="Arial"/>
          <w:color w:val="002060"/>
          <w:sz w:val="20"/>
          <w:szCs w:val="20"/>
          <w:lang w:val="pl-PL"/>
        </w:rPr>
      </w:pPr>
      <w:r w:rsidRPr="00513F16">
        <w:rPr>
          <w:rFonts w:ascii="Arial" w:eastAsia="Times New Roman" w:hAnsi="Arial" w:cs="Arial"/>
          <w:b/>
          <w:bCs/>
          <w:color w:val="002060"/>
          <w:sz w:val="20"/>
          <w:szCs w:val="20"/>
          <w:lang w:val="pl-PL"/>
        </w:rPr>
        <w:t>Heviran Comfort.</w:t>
      </w:r>
      <w:r w:rsidRPr="00513F16">
        <w:rPr>
          <w:rFonts w:ascii="Arial" w:eastAsia="Times New Roman" w:hAnsi="Arial" w:cs="Arial"/>
          <w:color w:val="002060"/>
          <w:sz w:val="20"/>
          <w:szCs w:val="20"/>
          <w:lang w:val="pl-PL"/>
        </w:rPr>
        <w:t xml:space="preserve"> </w:t>
      </w:r>
      <w:r w:rsidRPr="00513F16">
        <w:rPr>
          <w:rFonts w:ascii="Arial" w:eastAsia="Times New Roman" w:hAnsi="Arial" w:cs="Arial"/>
          <w:b/>
          <w:bCs/>
          <w:color w:val="002060"/>
          <w:sz w:val="20"/>
          <w:szCs w:val="20"/>
          <w:lang w:val="pl-PL"/>
        </w:rPr>
        <w:t>Skład i postać:</w:t>
      </w:r>
      <w:r w:rsidRPr="00513F16">
        <w:rPr>
          <w:rFonts w:ascii="Arial" w:eastAsia="Times New Roman" w:hAnsi="Arial" w:cs="Arial"/>
          <w:color w:val="002060"/>
          <w:sz w:val="20"/>
          <w:szCs w:val="20"/>
          <w:lang w:val="pl-PL"/>
        </w:rPr>
        <w:t xml:space="preserve"> Każda tabletka zawiera 200 mg acyklowiru. Tabletki barwy białej, okrągłe, obustronnie wypukłe. </w:t>
      </w:r>
      <w:r w:rsidRPr="00513F16">
        <w:rPr>
          <w:rFonts w:ascii="Arial" w:eastAsia="Times New Roman" w:hAnsi="Arial" w:cs="Arial"/>
          <w:b/>
          <w:bCs/>
          <w:color w:val="002060"/>
          <w:sz w:val="20"/>
          <w:szCs w:val="20"/>
          <w:lang w:val="pl-PL"/>
        </w:rPr>
        <w:t>Wskazania:</w:t>
      </w:r>
      <w:r w:rsidRPr="00513F16">
        <w:rPr>
          <w:rFonts w:ascii="Arial" w:eastAsia="Times New Roman" w:hAnsi="Arial" w:cs="Arial"/>
          <w:color w:val="002060"/>
          <w:sz w:val="20"/>
          <w:szCs w:val="20"/>
          <w:lang w:val="pl-PL"/>
        </w:rPr>
        <w:t xml:space="preserve"> Leczenie nawrotowej opryszczki warg i twarzy wywołanej przez wirus opryszczki pospolitej (Herpes simplex) u dorosłych. Produkt leczniczy może być stosowany jedynie u pacjentów, u których w przeszłości rozpoznano zakażenie wirusem opryszczki pospolitej. </w:t>
      </w:r>
      <w:r w:rsidRPr="00513F16">
        <w:rPr>
          <w:rFonts w:ascii="Arial" w:eastAsia="Times New Roman" w:hAnsi="Arial" w:cs="Arial"/>
          <w:b/>
          <w:bCs/>
          <w:color w:val="002060"/>
          <w:sz w:val="20"/>
          <w:szCs w:val="20"/>
          <w:lang w:val="pl-PL"/>
        </w:rPr>
        <w:t>Przeciwwskazania:</w:t>
      </w:r>
      <w:r w:rsidRPr="00513F16">
        <w:rPr>
          <w:rFonts w:ascii="Arial" w:eastAsia="Times New Roman" w:hAnsi="Arial" w:cs="Arial"/>
          <w:color w:val="002060"/>
          <w:sz w:val="20"/>
          <w:szCs w:val="20"/>
          <w:lang w:val="pl-PL"/>
        </w:rPr>
        <w:t xml:space="preserve"> Nadwrażliwość na substancję czynną, walacyklowir lub na którąkolwiek substancję pomocniczą. </w:t>
      </w:r>
      <w:r w:rsidRPr="00513F16">
        <w:rPr>
          <w:rFonts w:ascii="Arial" w:eastAsia="Times New Roman" w:hAnsi="Arial" w:cs="Arial"/>
          <w:b/>
          <w:bCs/>
          <w:color w:val="002060"/>
          <w:sz w:val="20"/>
          <w:szCs w:val="20"/>
          <w:lang w:val="pl-PL"/>
        </w:rPr>
        <w:t>Podmiot odpowiedzialny:</w:t>
      </w:r>
      <w:r w:rsidRPr="00513F16">
        <w:rPr>
          <w:rFonts w:ascii="Arial" w:eastAsia="Times New Roman" w:hAnsi="Arial" w:cs="Arial"/>
          <w:color w:val="002060"/>
          <w:sz w:val="20"/>
          <w:szCs w:val="20"/>
          <w:lang w:val="pl-PL"/>
        </w:rPr>
        <w:t xml:space="preserve"> Zakłady Farmaceutyczne Polpharma S.A. Lek wydawany bez recepty. ChPL: 07.05.2020 r.</w:t>
      </w:r>
    </w:p>
    <w:p w14:paraId="3B8C4707" w14:textId="2DEFD8BE" w:rsidR="00513F16" w:rsidRPr="00513F16" w:rsidRDefault="00513F16" w:rsidP="00513F16">
      <w:pPr>
        <w:jc w:val="both"/>
        <w:rPr>
          <w:rFonts w:ascii="Arial" w:eastAsia="Times New Roman" w:hAnsi="Arial" w:cs="Arial"/>
          <w:color w:val="002060"/>
          <w:sz w:val="20"/>
          <w:szCs w:val="20"/>
          <w:lang w:val="pl-PL"/>
        </w:rPr>
      </w:pPr>
      <w:r w:rsidRPr="00513F16">
        <w:rPr>
          <w:rFonts w:ascii="Arial" w:eastAsia="Times New Roman" w:hAnsi="Arial" w:cs="Arial"/>
          <w:color w:val="002060"/>
          <w:sz w:val="20"/>
          <w:szCs w:val="20"/>
          <w:lang w:val="pl-PL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 w:rsidRPr="00513F16">
        <w:rPr>
          <w:noProof/>
          <w:color w:val="002060"/>
          <w:lang w:val="pl-PL"/>
        </w:rPr>
        <w:t xml:space="preserve"> </w:t>
      </w:r>
    </w:p>
    <w:p w14:paraId="0F8D9CB4" w14:textId="77777777" w:rsidR="00513F16" w:rsidRPr="00513F16" w:rsidRDefault="00513F16" w:rsidP="00513F16">
      <w:pPr>
        <w:jc w:val="both"/>
        <w:rPr>
          <w:lang w:val="pl-PL"/>
        </w:rPr>
      </w:pPr>
    </w:p>
    <w:p w14:paraId="3209C30B" w14:textId="77777777" w:rsidR="00513F16" w:rsidRPr="00513F16" w:rsidRDefault="00513F16" w:rsidP="00513F16">
      <w:pPr>
        <w:jc w:val="both"/>
        <w:rPr>
          <w:lang w:val="pl-PL"/>
        </w:rPr>
      </w:pPr>
    </w:p>
    <w:sectPr w:rsidR="00513F16" w:rsidRPr="00513F16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6463" w14:textId="77777777" w:rsidR="00513F16" w:rsidRDefault="00513F16" w:rsidP="00513F16">
      <w:pPr>
        <w:spacing w:after="0" w:line="240" w:lineRule="auto"/>
      </w:pPr>
      <w:r>
        <w:separator/>
      </w:r>
    </w:p>
  </w:endnote>
  <w:endnote w:type="continuationSeparator" w:id="0">
    <w:p w14:paraId="205010B1" w14:textId="77777777" w:rsidR="00513F16" w:rsidRDefault="00513F16" w:rsidP="0051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7E49" w14:textId="5E86E65B" w:rsidR="00513F16" w:rsidRDefault="00513F1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8402977" wp14:editId="04763C05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6" name="MSIPCM3412417baa8b4ec79422d526" descr="{&quot;HashCode&quot;:-178380234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A3D0CD" w14:textId="04CDF64B" w:rsidR="00513F16" w:rsidRPr="009B61F9" w:rsidRDefault="00513F16" w:rsidP="00513F1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  <w:lang w:val="pl-PL"/>
                            </w:rPr>
                          </w:pPr>
                          <w:r w:rsidRPr="009B61F9">
                            <w:rPr>
                              <w:rFonts w:ascii="Calibri" w:hAnsi="Calibri" w:cs="Calibri"/>
                              <w:color w:val="000000"/>
                              <w:sz w:val="16"/>
                              <w:lang w:val="pl-PL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402977" id="_x0000_t202" coordsize="21600,21600" o:spt="202" path="m,l,21600r21600,l21600,xe">
              <v:stroke joinstyle="miter"/>
              <v:path gradientshapeok="t" o:connecttype="rect"/>
            </v:shapetype>
            <v:shape id="MSIPCM3412417baa8b4ec79422d526" o:spid="_x0000_s1027" type="#_x0000_t202" alt="{&quot;HashCode&quot;:-1783802344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5DA3D0CD" w14:textId="04CDF64B" w:rsidR="00513F16" w:rsidRPr="009B61F9" w:rsidRDefault="00513F16" w:rsidP="00513F1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  <w:lang w:val="pl-PL"/>
                      </w:rPr>
                    </w:pPr>
                    <w:r w:rsidRPr="009B61F9">
                      <w:rPr>
                        <w:rFonts w:ascii="Calibri" w:hAnsi="Calibri" w:cs="Calibri"/>
                        <w:color w:val="000000"/>
                        <w:sz w:val="16"/>
                        <w:lang w:val="pl-PL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B95D" w14:textId="77777777" w:rsidR="00513F16" w:rsidRDefault="00513F16" w:rsidP="00513F16">
      <w:pPr>
        <w:spacing w:after="0" w:line="240" w:lineRule="auto"/>
      </w:pPr>
      <w:r>
        <w:separator/>
      </w:r>
    </w:p>
  </w:footnote>
  <w:footnote w:type="continuationSeparator" w:id="0">
    <w:p w14:paraId="26FA099B" w14:textId="77777777" w:rsidR="00513F16" w:rsidRDefault="00513F16" w:rsidP="00513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16"/>
    <w:rsid w:val="00227AE7"/>
    <w:rsid w:val="003D1094"/>
    <w:rsid w:val="003D2637"/>
    <w:rsid w:val="00513F16"/>
    <w:rsid w:val="009B61F9"/>
    <w:rsid w:val="00B74602"/>
    <w:rsid w:val="00BC0E7C"/>
    <w:rsid w:val="00E3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29BE57"/>
  <w15:chartTrackingRefBased/>
  <w15:docId w15:val="{0545D82F-0F05-4BD4-8930-6ABB842A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F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F16"/>
  </w:style>
  <w:style w:type="paragraph" w:styleId="Stopka">
    <w:name w:val="footer"/>
    <w:basedOn w:val="Normalny"/>
    <w:link w:val="StopkaZnak"/>
    <w:uiPriority w:val="99"/>
    <w:unhideWhenUsed/>
    <w:rsid w:val="00513F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4EC47-F657-4321-A536-1012A2AC23AE}">
  <ds:schemaRefs>
    <ds:schemaRef ds:uri="http://purl.org/dc/terms/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BF6CF5-EDCC-4C82-ADC4-2D6457D05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F36B0-A736-4E18-B7E7-71017ACBA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 Agnieszka</dc:creator>
  <cp:keywords/>
  <dc:description/>
  <cp:lastModifiedBy>Sitek Agnieszka</cp:lastModifiedBy>
  <cp:revision>2</cp:revision>
  <dcterms:created xsi:type="dcterms:W3CDTF">2022-10-18T18:42:00Z</dcterms:created>
  <dcterms:modified xsi:type="dcterms:W3CDTF">2022-10-18T18:42:00Z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2022-10-18T18:42:51Z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9dc28fe6-487f-4f66-afb1-909dd1aff6ab</vt:lpwstr>
  </property>
  <property fmtid="{D5CDD505-2E9C-101B-9397-08002B2CF9AE}" pid="9" name="MSIP_Label_8fbf575c-36da-44f7-a26b-6804f2bce3ff_ContentBits">
    <vt:lpwstr>2</vt:lpwstr>
  </property>
</Properties>
</file>