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F4CD" w14:textId="2AF434AD" w:rsidR="00427620" w:rsidRDefault="00522C1B">
      <w:pPr>
        <w:spacing w:after="0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>ML XYLOM-WZF/0</w:t>
      </w:r>
      <w:r w:rsidR="00875409">
        <w:rPr>
          <w:rFonts w:ascii="Calibri" w:eastAsia="Calibri" w:hAnsi="Calibri" w:cs="Calibri"/>
          <w:sz w:val="22"/>
        </w:rPr>
        <w:t>14</w:t>
      </w:r>
      <w:r>
        <w:rPr>
          <w:rFonts w:ascii="Calibri" w:eastAsia="Calibri" w:hAnsi="Calibri" w:cs="Calibri"/>
          <w:sz w:val="22"/>
        </w:rPr>
        <w:t>/1</w:t>
      </w:r>
      <w:r w:rsidR="00875409">
        <w:rPr>
          <w:rFonts w:ascii="Calibri" w:eastAsia="Calibri" w:hAnsi="Calibri" w:cs="Calibri"/>
          <w:sz w:val="22"/>
        </w:rPr>
        <w:t>0</w:t>
      </w:r>
      <w:r>
        <w:rPr>
          <w:rFonts w:ascii="Calibri" w:eastAsia="Calibri" w:hAnsi="Calibri" w:cs="Calibri"/>
          <w:sz w:val="22"/>
        </w:rPr>
        <w:t>-202</w:t>
      </w:r>
      <w:r w:rsidR="00875409">
        <w:rPr>
          <w:rFonts w:ascii="Calibri" w:eastAsia="Calibri" w:hAnsi="Calibri" w:cs="Calibri"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ważny do dnia </w:t>
      </w:r>
      <w:r w:rsidR="00875409">
        <w:rPr>
          <w:rFonts w:ascii="Calibri" w:eastAsia="Calibri" w:hAnsi="Calibri" w:cs="Calibri"/>
          <w:sz w:val="22"/>
        </w:rPr>
        <w:t>31</w:t>
      </w:r>
      <w:r>
        <w:rPr>
          <w:rFonts w:ascii="Calibri" w:eastAsia="Calibri" w:hAnsi="Calibri" w:cs="Calibri"/>
          <w:sz w:val="22"/>
        </w:rPr>
        <w:t>.11.202</w:t>
      </w:r>
      <w:r w:rsidR="00875409">
        <w:rPr>
          <w:rFonts w:ascii="Calibri" w:eastAsia="Calibri" w:hAnsi="Calibri" w:cs="Calibri"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r. </w:t>
      </w:r>
    </w:p>
    <w:p w14:paraId="140C3C3C" w14:textId="77777777" w:rsidR="00427620" w:rsidRDefault="00522C1B">
      <w:pPr>
        <w:spacing w:after="0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6F8285" w14:textId="77777777" w:rsidR="00427620" w:rsidRDefault="00522C1B">
      <w:pPr>
        <w:spacing w:after="0" w:line="216" w:lineRule="auto"/>
        <w:ind w:left="1042" w:right="0" w:hanging="31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00B050"/>
          <w:sz w:val="56"/>
        </w:rPr>
        <w:t xml:space="preserve">NR 1 WŚRÓD LEKÓW NA KATAR* </w:t>
      </w:r>
      <w:r>
        <w:rPr>
          <w:rFonts w:ascii="Calibri" w:eastAsia="Calibri" w:hAnsi="Calibri" w:cs="Calibri"/>
          <w:color w:val="385623"/>
          <w:sz w:val="56"/>
        </w:rPr>
        <w:t xml:space="preserve"> </w:t>
      </w:r>
    </w:p>
    <w:p w14:paraId="34EEEF0D" w14:textId="77777777" w:rsidR="00427620" w:rsidRDefault="00522C1B">
      <w:pPr>
        <w:spacing w:after="161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72B879" wp14:editId="311BB454">
            <wp:simplePos x="0" y="0"/>
            <wp:positionH relativeFrom="column">
              <wp:posOffset>4790694</wp:posOffset>
            </wp:positionH>
            <wp:positionV relativeFrom="paragraph">
              <wp:posOffset>46022</wp:posOffset>
            </wp:positionV>
            <wp:extent cx="1691640" cy="3248025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4D558B2E" w14:textId="77777777" w:rsidR="00427620" w:rsidRPr="00A17090" w:rsidRDefault="00522C1B">
      <w:pPr>
        <w:rPr>
          <w:lang w:val="en-US"/>
        </w:rPr>
      </w:pPr>
      <w:r>
        <w:rPr>
          <w:b/>
        </w:rPr>
        <w:t xml:space="preserve">Xylometazolin WZF 0,1% Skład i postać: </w:t>
      </w:r>
      <w:r>
        <w:t>Każdy ml roztworu zawiera 1 mg ksylometazoliny chlorowodorku. Każda kropla zawiera 0,05 mg ksylometazoliny chlorowodorku. Substancja pomocnicza o znanym działaniu: benzalkoniowy chlorek 0,1 mg/ml. Krople do nosa, roztwór. Bezbarwny lub prawie bezbarwny, przezroczysty płyn.</w:t>
      </w:r>
      <w:r>
        <w:rPr>
          <w:b/>
        </w:rPr>
        <w:t xml:space="preserve"> Wskazania: </w:t>
      </w:r>
      <w:r>
        <w:t>Leczenie pomocnicze: ostrego zapalenia błony śluzowej nosa pochodzenia wirusowego lub bakteryjnego; ostrego lub przewlekłego zaostrzającego się zapalenia zatok przynosowych; alergicznego zapalenia błony śluzowej nosa; ostrego zapalenia ucha środkowego              -  w celu udrożnienia trąbki słuchowej. Xylometazolin WZF 0,1% jest wskazany do stosowania u dorosłych i młodzieży w wieku powyżej           12 lat.</w:t>
      </w:r>
      <w:r>
        <w:rPr>
          <w:b/>
        </w:rPr>
        <w:t xml:space="preserve"> Przeciwwskazania: </w:t>
      </w:r>
      <w:r>
        <w:t>Nadwrażliwość na substancję czynną            lub na którąkolwiek substancję pomocniczą produktu leczniczego. Nie stosować u pacjentów po usunięciu przysadki lub po innych zabiegach chirurgicznych przebiegających z odsłonięciem opony twardej. Zanikowe zapalenie błony śluzowej nosa.</w:t>
      </w:r>
      <w:r>
        <w:rPr>
          <w:b/>
        </w:rPr>
        <w:t xml:space="preserve"> Podmiot odpowiedzialny: </w:t>
      </w:r>
      <w:r>
        <w:t xml:space="preserve">Polfa Warszawa S.A. Pozwolenie na dopuszczenie do obrotu nr R/1824 wydane przez MZ. </w:t>
      </w:r>
      <w:r w:rsidRPr="00A17090">
        <w:rPr>
          <w:lang w:val="en-US"/>
        </w:rPr>
        <w:t xml:space="preserve">ChPL: 2021.09.24. </w:t>
      </w:r>
    </w:p>
    <w:p w14:paraId="65C94C29" w14:textId="77777777" w:rsidR="00427620" w:rsidRPr="00A17090" w:rsidRDefault="00522C1B">
      <w:pPr>
        <w:spacing w:after="144" w:line="259" w:lineRule="auto"/>
        <w:ind w:right="0"/>
        <w:jc w:val="left"/>
        <w:rPr>
          <w:lang w:val="en-US"/>
        </w:rPr>
      </w:pPr>
      <w:r w:rsidRPr="00A17090">
        <w:rPr>
          <w:i/>
          <w:lang w:val="en-US"/>
        </w:rPr>
        <w:t xml:space="preserve"> </w:t>
      </w:r>
    </w:p>
    <w:p w14:paraId="2EFAC985" w14:textId="0934F4E8" w:rsidR="00875409" w:rsidRPr="00A17090" w:rsidRDefault="00A17090" w:rsidP="00875409">
      <w:pPr>
        <w:spacing w:after="180" w:line="259" w:lineRule="auto"/>
        <w:ind w:right="0"/>
        <w:jc w:val="left"/>
        <w:rPr>
          <w:i/>
          <w:sz w:val="16"/>
          <w:szCs w:val="18"/>
        </w:rPr>
      </w:pPr>
      <w:r>
        <w:rPr>
          <w:i/>
          <w:sz w:val="16"/>
          <w:szCs w:val="18"/>
        </w:rPr>
        <w:t>*Na podstawie</w:t>
      </w:r>
      <w:r w:rsidRPr="00A17090">
        <w:rPr>
          <w:i/>
          <w:sz w:val="16"/>
          <w:szCs w:val="18"/>
        </w:rPr>
        <w:t xml:space="preserve"> informacj</w:t>
      </w:r>
      <w:r>
        <w:rPr>
          <w:i/>
          <w:sz w:val="16"/>
          <w:szCs w:val="18"/>
        </w:rPr>
        <w:t>i</w:t>
      </w:r>
      <w:r w:rsidRPr="00A17090">
        <w:rPr>
          <w:i/>
          <w:sz w:val="16"/>
          <w:szCs w:val="18"/>
        </w:rPr>
        <w:t xml:space="preserve"> licencjonowanych przez IQVIA: IQVIA Poland Pharmascope 9/2022; OTC3: 01B2 NASAL DECONGESTANTS, MAT 09/22, </w:t>
      </w:r>
      <w:r>
        <w:rPr>
          <w:i/>
          <w:sz w:val="16"/>
          <w:szCs w:val="18"/>
        </w:rPr>
        <w:t>Ilość sprzedanych opakowań</w:t>
      </w:r>
      <w:r w:rsidRPr="00A17090">
        <w:rPr>
          <w:i/>
          <w:sz w:val="16"/>
          <w:szCs w:val="18"/>
        </w:rPr>
        <w:t>. Prawa autorskie IQVIA. Wszelkie prawa zastrzeżone.</w:t>
      </w:r>
      <w:r w:rsidR="00875409" w:rsidRPr="00A17090">
        <w:rPr>
          <w:i/>
          <w:sz w:val="16"/>
          <w:szCs w:val="18"/>
        </w:rPr>
        <w:t>.</w:t>
      </w:r>
    </w:p>
    <w:p w14:paraId="001CA244" w14:textId="33F73D63" w:rsidR="00427620" w:rsidRPr="00A17090" w:rsidRDefault="00522C1B" w:rsidP="00875409">
      <w:pPr>
        <w:spacing w:after="180" w:line="259" w:lineRule="auto"/>
        <w:ind w:right="0"/>
        <w:jc w:val="left"/>
      </w:pPr>
      <w:r w:rsidRPr="00A17090">
        <w:t>____________________________________________________________</w:t>
      </w:r>
      <w:r w:rsidRPr="00A17090">
        <w:rPr>
          <w:i/>
          <w:sz w:val="16"/>
        </w:rPr>
        <w:t xml:space="preserve"> </w:t>
      </w:r>
    </w:p>
    <w:p w14:paraId="6589AEE4" w14:textId="77777777" w:rsidR="00427620" w:rsidRDefault="00522C1B">
      <w:pPr>
        <w:spacing w:after="1" w:line="258" w:lineRule="auto"/>
        <w:ind w:left="1897" w:right="0" w:hanging="250"/>
        <w:jc w:val="left"/>
      </w:pPr>
      <w:r>
        <w:rPr>
          <w:sz w:val="28"/>
        </w:rPr>
        <w:t xml:space="preserve">Przed użyciem zapoznaj się z ulotką, która zawiera wskazania, przeciwwskazania, dane dotyczące działań niepożądanych                          </w:t>
      </w:r>
    </w:p>
    <w:p w14:paraId="6E0756C4" w14:textId="77777777" w:rsidR="00427620" w:rsidRDefault="00522C1B">
      <w:pPr>
        <w:spacing w:after="0" w:line="259" w:lineRule="auto"/>
        <w:ind w:left="1036" w:right="0"/>
        <w:jc w:val="center"/>
      </w:pPr>
      <w:r>
        <w:rPr>
          <w:sz w:val="28"/>
        </w:rPr>
        <w:t xml:space="preserve">i dawkowanie oraz informacje dotyczące stosowania produktu </w:t>
      </w:r>
    </w:p>
    <w:p w14:paraId="2A9881AF" w14:textId="77777777" w:rsidR="00427620" w:rsidRDefault="00522C1B">
      <w:pPr>
        <w:spacing w:after="1" w:line="258" w:lineRule="auto"/>
        <w:ind w:left="1558" w:right="0" w:hanging="478"/>
        <w:jc w:val="left"/>
      </w:pPr>
      <w:r>
        <w:rPr>
          <w:sz w:val="28"/>
        </w:rPr>
        <w:t>leczniczego, bądź skonsultuj się z lekarzem lub farmaceutą, gdyż każdy lek niewłaściwie stosowany zagraża Twojemu życiu lub zdrowiu.</w:t>
      </w:r>
      <w:r>
        <w:rPr>
          <w:sz w:val="18"/>
        </w:rPr>
        <w:t xml:space="preserve"> </w:t>
      </w:r>
    </w:p>
    <w:p w14:paraId="37B3E061" w14:textId="77777777" w:rsidR="00427620" w:rsidRDefault="00522C1B">
      <w:pPr>
        <w:spacing w:after="204" w:line="259" w:lineRule="auto"/>
        <w:ind w:left="982" w:right="-6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E1C11A" wp14:editId="05B9B9F9">
                <wp:extent cx="5798185" cy="18289"/>
                <wp:effectExtent l="0" t="0" r="0" b="0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961" name="Shape 961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" style="width:456.55pt;height:1.44006pt;mso-position-horizontal-relative:char;mso-position-vertical-relative:line" coordsize="57981,182">
                <v:shape id="Shape 962" style="position:absolute;width:57981;height:182;left:0;top:0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B3BFDC" w14:textId="77777777" w:rsidR="00427620" w:rsidRDefault="00522C1B">
      <w:pPr>
        <w:spacing w:after="158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CD40D80" w14:textId="77777777" w:rsidR="00427620" w:rsidRDefault="00522C1B">
      <w:pPr>
        <w:spacing w:after="160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E16B247" w14:textId="77777777" w:rsidR="00427620" w:rsidRDefault="00522C1B">
      <w:pPr>
        <w:spacing w:after="158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6404E5A" w14:textId="49512F77" w:rsidR="00427620" w:rsidRDefault="00522C1B" w:rsidP="00522C1B">
      <w:pPr>
        <w:spacing w:after="158" w:line="259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2A91D00" w14:textId="73467709" w:rsidR="00427620" w:rsidRDefault="00427620" w:rsidP="00522C1B">
      <w:pPr>
        <w:spacing w:after="1470" w:line="259" w:lineRule="auto"/>
        <w:ind w:right="0"/>
        <w:jc w:val="left"/>
      </w:pPr>
    </w:p>
    <w:sectPr w:rsidR="00427620">
      <w:footerReference w:type="default" r:id="rId10"/>
      <w:pgSz w:w="11906" w:h="16838"/>
      <w:pgMar w:top="1440" w:right="1448" w:bottom="1440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B8C0" w14:textId="77777777" w:rsidR="00052ED7" w:rsidRDefault="00052ED7" w:rsidP="00875409">
      <w:pPr>
        <w:spacing w:after="0" w:line="240" w:lineRule="auto"/>
      </w:pPr>
      <w:r>
        <w:separator/>
      </w:r>
    </w:p>
  </w:endnote>
  <w:endnote w:type="continuationSeparator" w:id="0">
    <w:p w14:paraId="17FF43D5" w14:textId="77777777" w:rsidR="00052ED7" w:rsidRDefault="00052ED7" w:rsidP="0087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A42F" w14:textId="01BFA7CA" w:rsidR="00875409" w:rsidRDefault="008754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4A44F" wp14:editId="07664C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0e54159891659b4e45596f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1A1F5" w14:textId="79346E18" w:rsidR="00875409" w:rsidRPr="00875409" w:rsidRDefault="00875409" w:rsidP="00875409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875409">
                            <w:rPr>
                              <w:rFonts w:ascii="Calibri" w:hAnsi="Calibri" w:cs="Calibri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4A44F" id="_x0000_t202" coordsize="21600,21600" o:spt="202" path="m,l,21600r21600,l21600,xe">
              <v:stroke joinstyle="miter"/>
              <v:path gradientshapeok="t" o:connecttype="rect"/>
            </v:shapetype>
            <v:shape id="MSIPCM50e54159891659b4e45596f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751A1F5" w14:textId="79346E18" w:rsidR="00875409" w:rsidRPr="00875409" w:rsidRDefault="00875409" w:rsidP="00875409">
                    <w:pPr>
                      <w:spacing w:after="0"/>
                      <w:ind w:left="0" w:right="0"/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875409">
                      <w:rPr>
                        <w:rFonts w:ascii="Calibri" w:hAnsi="Calibri" w:cs="Calibri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F7D6" w14:textId="77777777" w:rsidR="00052ED7" w:rsidRDefault="00052ED7" w:rsidP="00875409">
      <w:pPr>
        <w:spacing w:after="0" w:line="240" w:lineRule="auto"/>
      </w:pPr>
      <w:r>
        <w:separator/>
      </w:r>
    </w:p>
  </w:footnote>
  <w:footnote w:type="continuationSeparator" w:id="0">
    <w:p w14:paraId="6FCD642B" w14:textId="77777777" w:rsidR="00052ED7" w:rsidRDefault="00052ED7" w:rsidP="0087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20"/>
    <w:rsid w:val="00052ED7"/>
    <w:rsid w:val="00427620"/>
    <w:rsid w:val="00522C1B"/>
    <w:rsid w:val="006B3B7F"/>
    <w:rsid w:val="00875409"/>
    <w:rsid w:val="00A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F545"/>
  <w15:docId w15:val="{7BC5ECD0-2149-4DDB-8DA3-2CCE4DF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8" w:line="272" w:lineRule="auto"/>
      <w:ind w:left="1011" w:right="2688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9"/>
      <w:ind w:left="1011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87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09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7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0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287B2-078A-445F-9F99-0BC57EA7C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1253D-A705-48DC-8E61-36FE096CA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2F4A-5B0D-4D3D-8DB9-9299CFAA5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cp:lastModifiedBy>Zielińska Anetta</cp:lastModifiedBy>
  <cp:revision>2</cp:revision>
  <dcterms:created xsi:type="dcterms:W3CDTF">2022-11-10T16:39:00Z</dcterms:created>
  <dcterms:modified xsi:type="dcterms:W3CDTF">2022-11-10T16:39:00Z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2022-11-10T16:39:29Z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3bfe3446-40bd-41e4-8fef-e6c2e2ef937b</vt:lpwstr>
  </property>
  <property fmtid="{D5CDD505-2E9C-101B-9397-08002B2CF9AE}" pid="9" name="MSIP_Label_8fbf575c-36da-44f7-a26b-6804f2bce3ff_ContentBits">
    <vt:lpwstr>2</vt:lpwstr>
  </property>
</Properties>
</file>