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D20E6" w14:textId="30688F55" w:rsidR="00CD5434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DORMINOX</w:t>
      </w:r>
      <w:r w:rsidR="00D45BDE">
        <w:rPr>
          <w:rFonts w:ascii="Arial" w:eastAsia="Times New Roman" w:hAnsi="Arial" w:cs="Arial"/>
          <w:b/>
          <w:bCs/>
          <w:sz w:val="20"/>
          <w:szCs w:val="20"/>
        </w:rPr>
        <w:t>®</w:t>
      </w:r>
    </w:p>
    <w:p w14:paraId="7663F362" w14:textId="0B8DCFBD" w:rsidR="00F24B81" w:rsidRPr="00F24B81" w:rsidRDefault="00F24B81">
      <w:pPr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F24B81">
        <w:rPr>
          <w:rFonts w:ascii="Arial" w:eastAsia="Times New Roman" w:hAnsi="Arial" w:cs="Arial"/>
          <w:i/>
          <w:iCs/>
          <w:sz w:val="20"/>
          <w:szCs w:val="20"/>
        </w:rPr>
        <w:t>Doxylamini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hydrogenosuccinas; 12,5 mg, 7</w:t>
      </w:r>
      <w:r w:rsidR="00D55BEA">
        <w:rPr>
          <w:rFonts w:ascii="Arial" w:eastAsia="Times New Roman" w:hAnsi="Arial" w:cs="Arial"/>
          <w:i/>
          <w:iCs/>
          <w:sz w:val="20"/>
          <w:szCs w:val="20"/>
        </w:rPr>
        <w:t xml:space="preserve"> i </w:t>
      </w:r>
      <w:r w:rsidR="00207A27">
        <w:rPr>
          <w:rFonts w:ascii="Arial" w:eastAsia="Times New Roman" w:hAnsi="Arial" w:cs="Arial"/>
          <w:i/>
          <w:iCs/>
          <w:sz w:val="20"/>
          <w:szCs w:val="20"/>
        </w:rPr>
        <w:t xml:space="preserve">14 </w:t>
      </w:r>
      <w:r>
        <w:rPr>
          <w:rFonts w:ascii="Arial" w:eastAsia="Times New Roman" w:hAnsi="Arial" w:cs="Arial"/>
          <w:i/>
          <w:iCs/>
          <w:sz w:val="20"/>
          <w:szCs w:val="20"/>
        </w:rPr>
        <w:t xml:space="preserve"> tabletek</w:t>
      </w:r>
      <w:r w:rsidR="00D45BDE">
        <w:rPr>
          <w:rFonts w:ascii="Arial" w:eastAsia="Times New Roman" w:hAnsi="Arial" w:cs="Arial"/>
          <w:i/>
          <w:iCs/>
          <w:sz w:val="20"/>
          <w:szCs w:val="20"/>
        </w:rPr>
        <w:t xml:space="preserve"> powlekanych</w:t>
      </w:r>
    </w:p>
    <w:p w14:paraId="11D0454D" w14:textId="04935457" w:rsidR="00CD5434" w:rsidRDefault="00CD5434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231735C5" w14:textId="4C7687D4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7A45B1DE" w14:textId="0A8D4919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693A0125" w14:textId="43EEAFA7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24B81">
        <w:rPr>
          <w:rFonts w:ascii="Arial" w:eastAsia="Times New Roman" w:hAnsi="Arial" w:cs="Arial"/>
          <w:b/>
          <w:bCs/>
          <w:sz w:val="20"/>
          <w:szCs w:val="20"/>
        </w:rPr>
        <w:t>Nowy, dostępny bez  recepty  lek  nasenny zawierający  przebadaną klinicznie doksylaminę.</w:t>
      </w:r>
    </w:p>
    <w:p w14:paraId="36D57109" w14:textId="355E382B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7A9D918D" w14:textId="58E36339" w:rsidR="00F24B81" w:rsidRDefault="00F24B81" w:rsidP="00F24B81">
      <w:pPr>
        <w:pStyle w:val="Akapitzlist"/>
        <w:numPr>
          <w:ilvl w:val="0"/>
          <w:numId w:val="1"/>
        </w:num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Działa w ciągu 30 minut </w:t>
      </w:r>
    </w:p>
    <w:p w14:paraId="26626690" w14:textId="29BC1CFD" w:rsidR="00F24B81" w:rsidRDefault="00722918" w:rsidP="00F24B81">
      <w:pPr>
        <w:pStyle w:val="Akapitzlist"/>
        <w:numPr>
          <w:ilvl w:val="0"/>
          <w:numId w:val="1"/>
        </w:num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Pozwala na </w:t>
      </w:r>
      <w:r w:rsidR="00F24B81">
        <w:rPr>
          <w:rFonts w:ascii="Arial" w:eastAsia="Times New Roman" w:hAnsi="Arial" w:cs="Arial"/>
          <w:b/>
          <w:bCs/>
          <w:sz w:val="20"/>
          <w:szCs w:val="20"/>
        </w:rPr>
        <w:t xml:space="preserve">głębszy sen nawet do 8 h </w:t>
      </w:r>
    </w:p>
    <w:p w14:paraId="5EEB85DD" w14:textId="15C965CE" w:rsidR="00F24B81" w:rsidRPr="00F24B81" w:rsidRDefault="00F24B81" w:rsidP="00F24B81">
      <w:pPr>
        <w:pStyle w:val="Akapitzlist"/>
        <w:numPr>
          <w:ilvl w:val="0"/>
          <w:numId w:val="1"/>
        </w:num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Nie uzależnia</w:t>
      </w:r>
      <w:r w:rsidR="00D45BDE">
        <w:rPr>
          <w:rFonts w:ascii="Arial" w:eastAsia="Times New Roman" w:hAnsi="Arial" w:cs="Arial"/>
          <w:b/>
          <w:bCs/>
          <w:sz w:val="20"/>
          <w:szCs w:val="20"/>
        </w:rPr>
        <w:t>*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71B6B687" w14:textId="09853B0E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57372BAD" w14:textId="7A937066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55D1701E" w14:textId="77777777" w:rsidR="00F24B81" w:rsidRPr="00F24B81" w:rsidRDefault="00F24B81" w:rsidP="00F24B81">
      <w:pPr>
        <w:pStyle w:val="NormalnyWeb"/>
        <w:spacing w:before="0" w:beforeAutospacing="0" w:after="0" w:afterAutospacing="0"/>
        <w:rPr>
          <w:color w:val="000000" w:themeColor="text1"/>
        </w:rPr>
      </w:pPr>
      <w:r>
        <w:rPr>
          <w:rFonts w:ascii="Arial" w:hAnsi="Arial" w:cs="Arial"/>
          <w:b/>
          <w:bCs/>
          <w:sz w:val="20"/>
          <w:szCs w:val="20"/>
        </w:rPr>
        <w:t>*</w:t>
      </w:r>
      <w:r w:rsidRPr="00F24B81">
        <w:rPr>
          <w:rFonts w:ascii="Calibri" w:eastAsia="+mn-ea" w:hAnsi="Calibri" w:cs="+mn-cs"/>
          <w:color w:val="000000" w:themeColor="text1"/>
          <w:kern w:val="24"/>
          <w:sz w:val="18"/>
          <w:szCs w:val="18"/>
        </w:rPr>
        <w:t>Krzystanek M at al. Doksylamina w leczeniu zaburzeń snu i lęku. Farmakoterapia w Psychiatrii i Neurologii 2016, 32 (1), 41–47.</w:t>
      </w:r>
    </w:p>
    <w:p w14:paraId="054BF01F" w14:textId="5EC711F4" w:rsidR="00F24B81" w:rsidRPr="00F24B81" w:rsidRDefault="00F24B81">
      <w:pPr>
        <w:jc w:val="both"/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</w:pPr>
    </w:p>
    <w:p w14:paraId="4A3364E7" w14:textId="77777777" w:rsidR="00F24B81" w:rsidRDefault="00F24B81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4A56D693" w14:textId="77777777" w:rsidR="00CD5434" w:rsidRDefault="00CD5434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02BEC967" w14:textId="0CDE4067" w:rsidR="006D5D39" w:rsidRDefault="00D55BEA">
      <w:pPr>
        <w:jc w:val="both"/>
        <w:rPr>
          <w:noProof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Dorminox.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</w:rPr>
        <w:t>Skład i postać:</w:t>
      </w:r>
      <w:r>
        <w:rPr>
          <w:rFonts w:ascii="Arial" w:eastAsia="Times New Roman" w:hAnsi="Arial" w:cs="Arial"/>
          <w:sz w:val="20"/>
          <w:szCs w:val="20"/>
        </w:rPr>
        <w:t xml:space="preserve"> Każda tabletka zawiera 12,5 mg doksylaminy wodorobursztynianu. Substancje pomocnicze o znanym działaniu: żółcień pomarańczowa, lak (E 110), czerwień koszenilowa, lak (E 124) i sód. Każda tabletka powlekana zawiera 0,006 mg żółcieni pomarańczowej, lak (E 110), 0.20 mg czerwieni koszenilowej, lak (E 124), 0.15 mg (0,006 mmol) sodu. Tabletka powlekana. Czerwona, okrągła tabletka powlekana z linią podziału po jednej stronie, o średnicy 7,5 mm. Linia podziału na tabletce ułatwia tylko jej przełamanie, w celu łatwiejszego połknięcia, a nie podział na równe dawki. </w:t>
      </w:r>
      <w:r>
        <w:rPr>
          <w:rFonts w:ascii="Arial" w:eastAsia="Times New Roman" w:hAnsi="Arial" w:cs="Arial"/>
          <w:b/>
          <w:bCs/>
          <w:sz w:val="20"/>
          <w:szCs w:val="20"/>
        </w:rPr>
        <w:t>Wskazania:</w:t>
      </w:r>
      <w:r>
        <w:rPr>
          <w:rFonts w:ascii="Arial" w:eastAsia="Times New Roman" w:hAnsi="Arial" w:cs="Arial"/>
          <w:sz w:val="20"/>
          <w:szCs w:val="20"/>
        </w:rPr>
        <w:t xml:space="preserve"> Krótkotrwałe, objawowe leczenie sporadycznie występującej bezsenności u osób dorosłych. </w:t>
      </w:r>
      <w:r>
        <w:rPr>
          <w:rFonts w:ascii="Arial" w:eastAsia="Times New Roman" w:hAnsi="Arial" w:cs="Arial"/>
          <w:b/>
          <w:bCs/>
          <w:sz w:val="20"/>
          <w:szCs w:val="20"/>
        </w:rPr>
        <w:t>Przeciwwskazania:</w:t>
      </w:r>
      <w:r>
        <w:rPr>
          <w:rFonts w:ascii="Arial" w:eastAsia="Times New Roman" w:hAnsi="Arial" w:cs="Arial"/>
          <w:sz w:val="20"/>
          <w:szCs w:val="20"/>
        </w:rPr>
        <w:t xml:space="preserve"> Nadwrażliwość na substancję czynną lub na którąkolwiek substancję pomocniczą. Nadwrażliwość na inne leki przeciwhistaminowe. Należy brać pod uwagę możliwość reakcji krzyżowych z innymi lekami przeciwhistaminowymi, dlatego leków przeciwhistaminowych H1 nie wolno stosować u pacjentów, u których istnieje nadwrażliwość na którykolwiek produkt z tej grupy. Astma. Przewlekłe zapalenie oskrzeli. Rozedma płuc. Jaskra. Rozrost gruczołu krokowego. Zwężenie przewodu pokarmowego z powodu wrzodu trawiennego. Zwężenie odźwiernikowo-dwunastnicze. Zwężenie ujścia pęcherza moczowego. Ciężkie zaburzenie czynności nerek i wątroby. Jednoczesne stosowanie z inhibitorami monoaminooksydazy (IMAO). Jednoczesne stosowanie z silnymi inhibitorami izoenzymów CYP450. Należą do nich: selektywne inhibitory wychwytu zwrotnego serotoniny (fluoksetyna, fluwoksamina, paroksetyna), antybiotyki makrolidowe (klarytromycyna, erytromycyna, telitromycyna), leki przeciwarytmiczne (amiodaron), przeciwwirusowe inhibitory proteazy (indynawir, rytonawir, telaprewir) i związki przeciwgrzybicze z grupy azoli (flukonazol, ketokonazol, itrakonazol, worykonazol), terbinafina, chinidyna, nefazodon, bupropion i gemfibrozyl. W okresie karmienia piersią. </w:t>
      </w:r>
      <w:r>
        <w:rPr>
          <w:rFonts w:ascii="Arial" w:eastAsia="Times New Roman" w:hAnsi="Arial" w:cs="Arial"/>
          <w:b/>
          <w:bCs/>
          <w:sz w:val="20"/>
          <w:szCs w:val="20"/>
        </w:rPr>
        <w:t>Podmiot odpowiedzialny:</w:t>
      </w:r>
      <w:r>
        <w:rPr>
          <w:rFonts w:ascii="Arial" w:eastAsia="Times New Roman" w:hAnsi="Arial" w:cs="Arial"/>
          <w:sz w:val="20"/>
          <w:szCs w:val="20"/>
        </w:rPr>
        <w:t xml:space="preserve"> Zakłady Farmaceutyczne Polpharma S.A. Pozwolenie na dopuszczenie do obrotu nr 26676 wydane przez MZ. Lek wydawany bez recepty. ChPL: 2022.11.21</w:t>
      </w:r>
      <w:r w:rsidR="003E32C8">
        <w:rPr>
          <w:rFonts w:ascii="Arial" w:eastAsia="Times New Roman" w:hAnsi="Arial" w:cs="Arial"/>
          <w:sz w:val="20"/>
          <w:szCs w:val="20"/>
        </w:rPr>
        <w:br/>
      </w:r>
      <w:r w:rsidR="00F24B81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</w:t>
      </w:r>
    </w:p>
    <w:p w14:paraId="1C7BB8A9" w14:textId="77777777" w:rsidR="006D5D39" w:rsidRDefault="006D5D39">
      <w:pPr>
        <w:jc w:val="both"/>
        <w:rPr>
          <w:noProof/>
        </w:rPr>
      </w:pPr>
    </w:p>
    <w:p w14:paraId="18B5A47F" w14:textId="77777777" w:rsidR="006D5D39" w:rsidRDefault="006D5D39">
      <w:pPr>
        <w:jc w:val="both"/>
        <w:rPr>
          <w:noProof/>
        </w:rPr>
      </w:pPr>
    </w:p>
    <w:p w14:paraId="0AF36B1F" w14:textId="62A1FA0E" w:rsidR="006D5D39" w:rsidRDefault="00A3460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EDC28EF" wp14:editId="4A97712B">
            <wp:extent cx="5248275" cy="3785518"/>
            <wp:effectExtent l="0" t="0" r="0" b="5715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64C4" w14:textId="0C56F80B" w:rsidR="006D5D39" w:rsidRDefault="006D5D39">
      <w:pPr>
        <w:jc w:val="both"/>
        <w:rPr>
          <w:noProof/>
        </w:rPr>
      </w:pPr>
    </w:p>
    <w:p w14:paraId="20E0D1C7" w14:textId="77777777" w:rsidR="006D5D39" w:rsidRDefault="006D5D39">
      <w:pPr>
        <w:jc w:val="both"/>
        <w:rPr>
          <w:noProof/>
        </w:rPr>
      </w:pPr>
    </w:p>
    <w:p w14:paraId="05FA60E9" w14:textId="77777777" w:rsidR="006D5D39" w:rsidRDefault="006D5D39">
      <w:pPr>
        <w:jc w:val="both"/>
        <w:rPr>
          <w:noProof/>
        </w:rPr>
      </w:pPr>
    </w:p>
    <w:p w14:paraId="380AB424" w14:textId="77777777" w:rsidR="006D5D39" w:rsidRDefault="006D5D39">
      <w:pPr>
        <w:jc w:val="both"/>
        <w:rPr>
          <w:noProof/>
        </w:rPr>
      </w:pPr>
    </w:p>
    <w:p w14:paraId="5783F7BC" w14:textId="77777777" w:rsidR="006D5D39" w:rsidRDefault="006D5D39">
      <w:pPr>
        <w:jc w:val="both"/>
        <w:rPr>
          <w:noProof/>
        </w:rPr>
      </w:pPr>
    </w:p>
    <w:p w14:paraId="7DD7E1BE" w14:textId="77777777" w:rsidR="006D5D39" w:rsidRDefault="006D5D39">
      <w:pPr>
        <w:jc w:val="both"/>
        <w:rPr>
          <w:noProof/>
        </w:rPr>
      </w:pPr>
    </w:p>
    <w:p w14:paraId="31908B9C" w14:textId="77777777" w:rsidR="006D5D39" w:rsidRDefault="006D5D39">
      <w:pPr>
        <w:jc w:val="both"/>
        <w:rPr>
          <w:noProof/>
        </w:rPr>
      </w:pPr>
    </w:p>
    <w:p w14:paraId="0963541F" w14:textId="5DFC4283" w:rsidR="00CD5434" w:rsidRDefault="003E32C8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/>
      </w:r>
      <w:r w:rsidR="00CD5434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690AE43" w14:textId="21B01CD6" w:rsidR="00D51453" w:rsidRDefault="00CD5434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  <w:r>
        <w:rPr>
          <w:rFonts w:ascii="Arial" w:eastAsia="Times New Roman" w:hAnsi="Arial" w:cs="Arial"/>
          <w:sz w:val="20"/>
          <w:szCs w:val="20"/>
        </w:rPr>
        <w:br/>
      </w:r>
    </w:p>
    <w:p w14:paraId="7C4F0871" w14:textId="7F03DAEC" w:rsidR="00C66486" w:rsidRDefault="00C66486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51F283F3" w14:textId="5FBCD0A0" w:rsidR="00C66486" w:rsidRDefault="00C66486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699C71AC" w14:textId="517B9E56" w:rsidR="00C66486" w:rsidRDefault="00C66486">
      <w:pPr>
        <w:jc w:val="both"/>
      </w:pPr>
      <w:r>
        <w:rPr>
          <w:rFonts w:ascii="Arial" w:eastAsia="Times New Roman" w:hAnsi="Arial" w:cs="Arial"/>
          <w:sz w:val="20"/>
          <w:szCs w:val="20"/>
        </w:rPr>
        <w:t>Dor/</w:t>
      </w:r>
      <w:r w:rsidR="00DA5300">
        <w:rPr>
          <w:rFonts w:ascii="Arial" w:eastAsia="Times New Roman" w:hAnsi="Arial" w:cs="Arial"/>
          <w:sz w:val="20"/>
          <w:szCs w:val="20"/>
        </w:rPr>
        <w:t>060/12-2022</w:t>
      </w:r>
      <w:r w:rsidR="004A28F4" w:rsidRPr="004A28F4">
        <w:t xml:space="preserve"> </w:t>
      </w:r>
      <w:r w:rsidR="000F466D">
        <w:rPr>
          <w:noProof/>
        </w:rPr>
        <w:drawing>
          <wp:inline distT="0" distB="0" distL="0" distR="0" wp14:anchorId="162BC237" wp14:editId="51E295BC">
            <wp:extent cx="5895975" cy="4488174"/>
            <wp:effectExtent l="0" t="0" r="0" b="8255"/>
            <wp:docPr id="3" name="Obraz 3" descr="Obraz zawierający tekst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wizyt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27" cy="44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2EC6" w14:textId="66ED1A20" w:rsidR="00FC7EAC" w:rsidRDefault="00FC7EAC">
      <w:pPr>
        <w:jc w:val="both"/>
      </w:pPr>
    </w:p>
    <w:p w14:paraId="3110204F" w14:textId="4E89FA7A" w:rsidR="00FC7EAC" w:rsidRDefault="00FC7EAC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6B9D65" wp14:editId="13EAC3BE">
            <wp:extent cx="6645910" cy="5059045"/>
            <wp:effectExtent l="0" t="0" r="2540" b="8255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EAC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15073" w14:textId="77777777" w:rsidR="009850EF" w:rsidRDefault="009850EF" w:rsidP="00C858BC">
      <w:r>
        <w:separator/>
      </w:r>
    </w:p>
  </w:endnote>
  <w:endnote w:type="continuationSeparator" w:id="0">
    <w:p w14:paraId="1F821120" w14:textId="77777777" w:rsidR="009850EF" w:rsidRDefault="009850EF" w:rsidP="00C8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B74D" w14:textId="196FA1CB" w:rsidR="00C858BC" w:rsidRDefault="00C858B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9EBB51" wp14:editId="4B552A4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5ad84f6da9e41b431e19e98f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709EA5E" w14:textId="0199790A" w:rsidR="00C858BC" w:rsidRPr="00C858BC" w:rsidRDefault="00C858BC" w:rsidP="00C858B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C858B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EBB51" id="_x0000_t202" coordsize="21600,21600" o:spt="202" path="m,l,21600r21600,l21600,xe">
              <v:stroke joinstyle="miter"/>
              <v:path gradientshapeok="t" o:connecttype="rect"/>
            </v:shapetype>
            <v:shape id="MSIPCM5ad84f6da9e41b431e19e98f" o:spid="_x0000_s1026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3709EA5E" w14:textId="0199790A" w:rsidR="00C858BC" w:rsidRPr="00C858BC" w:rsidRDefault="00C858BC" w:rsidP="00C858B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C858BC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A0653" w14:textId="77777777" w:rsidR="009850EF" w:rsidRDefault="009850EF" w:rsidP="00C858BC">
      <w:r>
        <w:separator/>
      </w:r>
    </w:p>
  </w:footnote>
  <w:footnote w:type="continuationSeparator" w:id="0">
    <w:p w14:paraId="17EDA7C1" w14:textId="77777777" w:rsidR="009850EF" w:rsidRDefault="009850EF" w:rsidP="00C85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4C94"/>
    <w:multiLevelType w:val="hybridMultilevel"/>
    <w:tmpl w:val="21F63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094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2C8"/>
    <w:rsid w:val="000034AB"/>
    <w:rsid w:val="00017360"/>
    <w:rsid w:val="000F466D"/>
    <w:rsid w:val="00207A27"/>
    <w:rsid w:val="003E32C8"/>
    <w:rsid w:val="004A28F4"/>
    <w:rsid w:val="005F004D"/>
    <w:rsid w:val="0066073D"/>
    <w:rsid w:val="006D5D39"/>
    <w:rsid w:val="00720E9C"/>
    <w:rsid w:val="00722918"/>
    <w:rsid w:val="00723B85"/>
    <w:rsid w:val="0079584E"/>
    <w:rsid w:val="009850EF"/>
    <w:rsid w:val="00A16AF6"/>
    <w:rsid w:val="00A34609"/>
    <w:rsid w:val="00C66486"/>
    <w:rsid w:val="00C858BC"/>
    <w:rsid w:val="00CD5434"/>
    <w:rsid w:val="00CF6DDD"/>
    <w:rsid w:val="00D45BDE"/>
    <w:rsid w:val="00D51453"/>
    <w:rsid w:val="00D55BEA"/>
    <w:rsid w:val="00DA5300"/>
    <w:rsid w:val="00F24B81"/>
    <w:rsid w:val="00FC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E35619"/>
  <w15:chartTrackingRefBased/>
  <w15:docId w15:val="{9FFB439E-4761-4D11-8021-4FAB9DB8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eastAsiaTheme="minorEastAsi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C858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58BC"/>
    <w:rPr>
      <w:rFonts w:eastAsiaTheme="minorEastAs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58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58BC"/>
    <w:rPr>
      <w:rFonts w:eastAsiaTheme="minorEastAsia"/>
      <w:sz w:val="24"/>
      <w:szCs w:val="24"/>
    </w:rPr>
  </w:style>
  <w:style w:type="paragraph" w:styleId="Akapitzlist">
    <w:name w:val="List Paragraph"/>
    <w:basedOn w:val="Normalny"/>
    <w:uiPriority w:val="34"/>
    <w:qFormat/>
    <w:rsid w:val="00F24B8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24B81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0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411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Słodki Zbigniew</dc:creator>
  <cp:keywords/>
  <dc:description/>
  <cp:lastModifiedBy>Kotomska Aleksandra</cp:lastModifiedBy>
  <cp:revision>8</cp:revision>
  <dcterms:created xsi:type="dcterms:W3CDTF">2022-12-21T08:49:00Z</dcterms:created>
  <dcterms:modified xsi:type="dcterms:W3CDTF">2022-12-21T09:03:00Z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bf575c-36da-44f7-a26b-6804f2bce3ff_Enabled">
    <vt:lpwstr>true</vt:lpwstr>
  </property>
  <property fmtid="{D5CDD505-2E9C-101B-9397-08002B2CF9AE}" pid="3" name="MSIP_Label_8fbf575c-36da-44f7-a26b-6804f2bce3ff_SetDate">
    <vt:lpwstr>2022-01-05T11:16:44Z</vt:lpwstr>
  </property>
  <property fmtid="{D5CDD505-2E9C-101B-9397-08002B2CF9AE}" pid="4" name="MSIP_Label_8fbf575c-36da-44f7-a26b-6804f2bce3ff_Method">
    <vt:lpwstr>Standard</vt:lpwstr>
  </property>
  <property fmtid="{D5CDD505-2E9C-101B-9397-08002B2CF9AE}" pid="5" name="MSIP_Label_8fbf575c-36da-44f7-a26b-6804f2bce3ff_Name">
    <vt:lpwstr>8fbf575c-36da-44f7-a26b-6804f2bce3ff</vt:lpwstr>
  </property>
  <property fmtid="{D5CDD505-2E9C-101B-9397-08002B2CF9AE}" pid="6" name="MSIP_Label_8fbf575c-36da-44f7-a26b-6804f2bce3ff_SiteId">
    <vt:lpwstr>edf3cfc4-ee60-4b92-a2cb-da2c123fc895</vt:lpwstr>
  </property>
  <property fmtid="{D5CDD505-2E9C-101B-9397-08002B2CF9AE}" pid="7" name="MSIP_Label_8fbf575c-36da-44f7-a26b-6804f2bce3ff_ActionId">
    <vt:lpwstr>0af62e3f-a0f4-4def-85da-471be8e74f36</vt:lpwstr>
  </property>
  <property fmtid="{D5CDD505-2E9C-101B-9397-08002B2CF9AE}" pid="8" name="MSIP_Label_8fbf575c-36da-44f7-a26b-6804f2bce3ff_ContentBits">
    <vt:lpwstr>2</vt:lpwstr>
  </property>
</Properties>
</file>