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83E8" w14:textId="1875A53A" w:rsidR="0044673E" w:rsidRDefault="00B0011D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ML LAK</w:t>
      </w:r>
      <w:r w:rsidR="000926FC">
        <w:rPr>
          <w:rFonts w:ascii="Arial" w:eastAsia="Times New Roman" w:hAnsi="Arial" w:cs="Arial"/>
          <w:b/>
          <w:bCs/>
          <w:sz w:val="20"/>
          <w:szCs w:val="20"/>
        </w:rPr>
        <w:t>-E</w:t>
      </w:r>
      <w:r>
        <w:rPr>
          <w:rFonts w:ascii="Arial" w:eastAsia="Times New Roman" w:hAnsi="Arial" w:cs="Arial"/>
          <w:b/>
          <w:bCs/>
          <w:sz w:val="20"/>
          <w:szCs w:val="20"/>
        </w:rPr>
        <w:t>/</w:t>
      </w:r>
      <w:r w:rsidR="000926FC">
        <w:rPr>
          <w:rFonts w:ascii="Arial" w:eastAsia="Times New Roman" w:hAnsi="Arial" w:cs="Arial"/>
          <w:b/>
          <w:bCs/>
          <w:sz w:val="20"/>
          <w:szCs w:val="20"/>
        </w:rPr>
        <w:t>022</w:t>
      </w:r>
      <w:r w:rsidR="002C7D3F">
        <w:rPr>
          <w:rFonts w:ascii="Arial" w:eastAsia="Times New Roman" w:hAnsi="Arial" w:cs="Arial"/>
          <w:b/>
          <w:bCs/>
          <w:sz w:val="20"/>
          <w:szCs w:val="20"/>
        </w:rPr>
        <w:t>/03-2023</w:t>
      </w:r>
    </w:p>
    <w:p w14:paraId="0C79F738" w14:textId="77777777" w:rsidR="0044673E" w:rsidRDefault="0044673E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246C082" w14:textId="323441DE" w:rsidR="0044673E" w:rsidRDefault="0044673E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9CFC036" w14:textId="1DED9076" w:rsidR="00A800D9" w:rsidRDefault="00A800D9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Zapobieganie występowaniu lub leczenie </w:t>
      </w:r>
      <w:r w:rsidR="005A0A1E">
        <w:rPr>
          <w:rFonts w:ascii="Arial" w:eastAsia="Times New Roman" w:hAnsi="Arial" w:cs="Arial"/>
          <w:b/>
          <w:bCs/>
          <w:sz w:val="20"/>
          <w:szCs w:val="20"/>
        </w:rPr>
        <w:t>biegunek różnego pochodzenia</w:t>
      </w:r>
      <w:r w:rsidR="000926FC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C9711C" w:rsidRPr="00C9711C">
        <w:t xml:space="preserve"> </w:t>
      </w:r>
    </w:p>
    <w:p w14:paraId="34520609" w14:textId="77777777" w:rsidR="0044673E" w:rsidRDefault="0044673E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4CB14E5" w14:textId="77777777" w:rsidR="00C9711C" w:rsidRDefault="00C9711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F1A1833" w14:textId="0C871206" w:rsidR="002C7D3F" w:rsidRDefault="004928C1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Lakcid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Entero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kapsułka twarda zawiera 250 mg liofilizowanych (221,25 mg substancji czynnej) suchych drożdżaków </w:t>
      </w:r>
      <w:proofErr w:type="spellStart"/>
      <w:r>
        <w:rPr>
          <w:rFonts w:ascii="Arial" w:eastAsia="Times New Roman" w:hAnsi="Arial" w:cs="Arial"/>
          <w:sz w:val="20"/>
          <w:szCs w:val="20"/>
        </w:rPr>
        <w:t>Saccharomyces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cerevisiae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var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20"/>
        </w:rPr>
        <w:t>boulardii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(synonim </w:t>
      </w:r>
      <w:proofErr w:type="spellStart"/>
      <w:r>
        <w:rPr>
          <w:rFonts w:ascii="Arial" w:eastAsia="Times New Roman" w:hAnsi="Arial" w:cs="Arial"/>
          <w:sz w:val="20"/>
          <w:szCs w:val="20"/>
        </w:rPr>
        <w:t>Saccharomyces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boulardii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co odpowiada min. 10 mld żywych komórek/1 g </w:t>
      </w:r>
      <w:proofErr w:type="spellStart"/>
      <w:r>
        <w:rPr>
          <w:rFonts w:ascii="Arial" w:eastAsia="Times New Roman" w:hAnsi="Arial" w:cs="Arial"/>
          <w:sz w:val="20"/>
          <w:szCs w:val="20"/>
        </w:rPr>
        <w:t>liofilizatu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oraz substancje pomocnicze o znanym działaniu: 61,25 mg laktozy bezwodnej i sód.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Leczenie ostrych biegunek infekcyjnych. Leczenie biegunek występujących w zespole jelita drażliwego (IBS). Zapobieganie biegunkom związanym ze stosowaniem antybiotyków. Nawracająca biegunka spowodowana zakażeniem Clostridium </w:t>
      </w:r>
      <w:proofErr w:type="spellStart"/>
      <w:r>
        <w:rPr>
          <w:rFonts w:ascii="Arial" w:eastAsia="Times New Roman" w:hAnsi="Arial" w:cs="Arial"/>
          <w:sz w:val="20"/>
          <w:szCs w:val="20"/>
        </w:rPr>
        <w:t>difficile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jako dodatek do leczenia wankomycyną lub </w:t>
      </w:r>
      <w:proofErr w:type="spellStart"/>
      <w:r>
        <w:rPr>
          <w:rFonts w:ascii="Arial" w:eastAsia="Times New Roman" w:hAnsi="Arial" w:cs="Arial"/>
          <w:sz w:val="20"/>
          <w:szCs w:val="20"/>
        </w:rPr>
        <w:t>metronidazolem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Zapobieganie biegunkom związanym z żywieniem dojelitowym. Zapobieganie biegunkom podróżnych. Wspomagająco w leczeniu zakażenia </w:t>
      </w:r>
      <w:proofErr w:type="spellStart"/>
      <w:r>
        <w:rPr>
          <w:rFonts w:ascii="Arial" w:eastAsia="Times New Roman" w:hAnsi="Arial" w:cs="Arial"/>
          <w:sz w:val="20"/>
          <w:szCs w:val="20"/>
        </w:rPr>
        <w:t>Helicobacter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pylori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2021.08.27. </w:t>
      </w:r>
      <w:r>
        <w:rPr>
          <w:rFonts w:ascii="Arial" w:eastAsia="Times New Roman" w:hAnsi="Arial" w:cs="Arial"/>
          <w:sz w:val="20"/>
          <w:szCs w:val="20"/>
        </w:rPr>
        <w:br/>
      </w:r>
    </w:p>
    <w:p w14:paraId="3216D599" w14:textId="77777777" w:rsidR="002C7D3F" w:rsidRDefault="002C7D3F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15E82B2" w14:textId="062B01EC" w:rsidR="002C7D3F" w:rsidRDefault="004928C1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AF5722F" wp14:editId="752A4F6D">
            <wp:extent cx="2397760" cy="1759716"/>
            <wp:effectExtent l="0" t="0" r="2540" b="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748" cy="177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66F72" w14:textId="77777777" w:rsidR="002C7D3F" w:rsidRDefault="002C7D3F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8CE5380" w14:textId="77777777" w:rsidR="002C7D3F" w:rsidRPr="002C7D3F" w:rsidRDefault="002C7D3F">
      <w:pPr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14:paraId="49FFD962" w14:textId="72E7DB38" w:rsidR="00FB0248" w:rsidRDefault="004928C1" w:rsidP="00211D06">
      <w:pPr>
        <w:rPr>
          <w:rFonts w:ascii="Arial" w:eastAsia="Times New Roman" w:hAnsi="Arial" w:cs="Arial"/>
          <w:sz w:val="20"/>
          <w:szCs w:val="20"/>
        </w:rPr>
      </w:pPr>
      <w:r w:rsidRPr="002C7D3F">
        <w:rPr>
          <w:rFonts w:ascii="Arial" w:eastAsia="Times New Roman" w:hAnsi="Arial" w:cs="Arial"/>
          <w:sz w:val="20"/>
          <w:szCs w:val="20"/>
          <w:u w:val="single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Reklama wizualna:</w:t>
      </w:r>
      <w:r>
        <w:rPr>
          <w:rFonts w:ascii="Arial" w:eastAsia="Times New Roman" w:hAnsi="Arial" w:cs="Arial"/>
          <w:sz w:val="20"/>
          <w:szCs w:val="20"/>
        </w:rPr>
        <w:t xml:space="preserve"> To jest lek. Dla bezpieczeństwa stosuj go zgodnie z ulotką dołączoną do opakowania. Nie przekraczaj maksymalnej dawki leku. W przypadku wątpliwości skonsultuj się z lekarzem lub farmaceutą.</w:t>
      </w:r>
      <w:r>
        <w:rPr>
          <w:rFonts w:ascii="Arial" w:eastAsia="Times New Roman" w:hAnsi="Arial" w:cs="Arial"/>
          <w:sz w:val="20"/>
          <w:szCs w:val="20"/>
        </w:rPr>
        <w:br/>
        <w:t>albo</w:t>
      </w:r>
      <w:r>
        <w:rPr>
          <w:rFonts w:ascii="Arial" w:eastAsia="Times New Roman" w:hAnsi="Arial" w:cs="Arial"/>
          <w:sz w:val="20"/>
          <w:szCs w:val="20"/>
        </w:rPr>
        <w:br/>
        <w:t>To jest lek. Dla bezpieczeństwa stosuj go zgodnie z ulotką dołączoną do opakowania i tylko wtedy, gdy jest to konieczne. W przypadku wątpliwości skonsultuj się z lekarzem lub farmaceutą.</w:t>
      </w:r>
      <w:r>
        <w:rPr>
          <w:rFonts w:ascii="Arial" w:eastAsia="Times New Roman" w:hAnsi="Arial" w:cs="Arial"/>
          <w:sz w:val="20"/>
          <w:szCs w:val="20"/>
        </w:rPr>
        <w:br/>
        <w:t>albo</w:t>
      </w:r>
      <w:r>
        <w:rPr>
          <w:rFonts w:ascii="Arial" w:eastAsia="Times New Roman" w:hAnsi="Arial" w:cs="Arial"/>
          <w:sz w:val="20"/>
          <w:szCs w:val="20"/>
        </w:rPr>
        <w:br/>
        <w:t>To jest lek. Dla bezpieczeństwa stosuj go zgodnie z ulotką dołączoną do opakowania. Zwróć uwagę na przeciwwskazania. W przypadku wątpliwości skonsultuj się z lekarzem lub farmaceutą.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FB0248"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838FD" w14:textId="77777777" w:rsidR="00CD079C" w:rsidRDefault="00CD079C" w:rsidP="00CD079C">
      <w:r>
        <w:separator/>
      </w:r>
    </w:p>
  </w:endnote>
  <w:endnote w:type="continuationSeparator" w:id="0">
    <w:p w14:paraId="0B05285D" w14:textId="77777777" w:rsidR="00CD079C" w:rsidRDefault="00CD079C" w:rsidP="00CD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1876" w14:textId="58C6F022" w:rsidR="00CD079C" w:rsidRDefault="00CD079C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2F73A04" wp14:editId="4DE5271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9525"/>
              <wp:wrapSquare wrapText="bothSides"/>
              <wp:docPr id="2" name="Pole tekstowe 2" descr="Wewnętrzne / Internal Zakłady Farmaceutyczne POLPHARMA S.A.; Polfa Warszawa S.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E5CF09" w14:textId="0D447732" w:rsidR="00CD079C" w:rsidRPr="00CD079C" w:rsidRDefault="00CD079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CD079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F73A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Wewnętrzne / Internal Zakłady Farmaceutyczne POLPHARMA S.A.; Polfa Warszawa S.A.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6AE5CF09" w14:textId="0D447732" w:rsidR="00CD079C" w:rsidRPr="00CD079C" w:rsidRDefault="00CD079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CD079C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C49F" w14:textId="5DBEF2DC" w:rsidR="00CD079C" w:rsidRDefault="00CD079C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177D28B" wp14:editId="301C3D3A">
              <wp:simplePos x="457200" y="1006792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9525"/>
              <wp:wrapSquare wrapText="bothSides"/>
              <wp:docPr id="3" name="Pole tekstowe 3" descr="Wewnętrzne / Internal Zakłady Farmaceutyczne POLPHARMA S.A.; Polfa Warszawa S.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8C87AA" w14:textId="023D5A08" w:rsidR="00CD079C" w:rsidRPr="00CD079C" w:rsidRDefault="00CD079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CD079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77D28B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Wewnętrzne / Internal Zakłady Farmaceutyczne POLPHARMA S.A.; Polfa Warszawa S.A.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388C87AA" w14:textId="023D5A08" w:rsidR="00CD079C" w:rsidRPr="00CD079C" w:rsidRDefault="00CD079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CD079C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9D36" w14:textId="5DF03F12" w:rsidR="00CD079C" w:rsidRDefault="00CD079C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4B0882D" wp14:editId="4AB621A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9525"/>
              <wp:wrapSquare wrapText="bothSides"/>
              <wp:docPr id="1" name="Pole tekstowe 1" descr="Wewnętrzne / Internal Zakłady Farmaceutyczne POLPHARMA S.A.; Polfa Warszawa S.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41E39C" w14:textId="17C5BB08" w:rsidR="00CD079C" w:rsidRPr="00CD079C" w:rsidRDefault="00CD079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CD079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B0882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Wewnętrzne / Internal Zakłady Farmaceutyczne POLPHARMA S.A.; Polfa Warszawa S.A.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4141E39C" w14:textId="17C5BB08" w:rsidR="00CD079C" w:rsidRPr="00CD079C" w:rsidRDefault="00CD079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CD079C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9BA3" w14:textId="77777777" w:rsidR="00CD079C" w:rsidRDefault="00CD079C" w:rsidP="00CD079C">
      <w:r>
        <w:separator/>
      </w:r>
    </w:p>
  </w:footnote>
  <w:footnote w:type="continuationSeparator" w:id="0">
    <w:p w14:paraId="4CAA028F" w14:textId="77777777" w:rsidR="00CD079C" w:rsidRDefault="00CD079C" w:rsidP="00CD0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9C"/>
    <w:rsid w:val="000926FC"/>
    <w:rsid w:val="000B0DDE"/>
    <w:rsid w:val="00211D06"/>
    <w:rsid w:val="002C7D3F"/>
    <w:rsid w:val="0044673E"/>
    <w:rsid w:val="004928C1"/>
    <w:rsid w:val="00556B0C"/>
    <w:rsid w:val="005A0A1E"/>
    <w:rsid w:val="00A800D9"/>
    <w:rsid w:val="00B0011D"/>
    <w:rsid w:val="00C9711C"/>
    <w:rsid w:val="00CD079C"/>
    <w:rsid w:val="00FB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FD310"/>
  <w15:chartTrackingRefBased/>
  <w15:docId w15:val="{1082DC65-7772-44FC-8214-1B2DD855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CD0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79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C6F0A-8DC6-4030-89E4-1C1A8FDD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Kacprzuk Magdalena</dc:creator>
  <cp:keywords/>
  <dc:description/>
  <cp:lastModifiedBy>Kacprzuk Magdalena</cp:lastModifiedBy>
  <cp:revision>2</cp:revision>
  <dcterms:created xsi:type="dcterms:W3CDTF">2023-03-10T19:21:00Z</dcterms:created>
  <dcterms:modified xsi:type="dcterms:W3CDTF">2023-03-10T19:21:00Z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Wewnętrzne / Internal Zakłady Farmaceutyczne POLPHARMA S.A.; Polfa Warszawa S.A.</vt:lpwstr>
  </property>
  <property fmtid="{D5CDD505-2E9C-101B-9397-08002B2CF9AE}" pid="5" name="MSIP_Label_8fbf575c-36da-44f7-a26b-6804f2bce3ff_Enabled">
    <vt:lpwstr>true</vt:lpwstr>
  </property>
  <property fmtid="{D5CDD505-2E9C-101B-9397-08002B2CF9AE}" pid="6" name="MSIP_Label_8fbf575c-36da-44f7-a26b-6804f2bce3ff_SetDate">
    <vt:lpwstr>2023-03-10T19:07:52Z</vt:lpwstr>
  </property>
  <property fmtid="{D5CDD505-2E9C-101B-9397-08002B2CF9AE}" pid="7" name="MSIP_Label_8fbf575c-36da-44f7-a26b-6804f2bce3ff_Method">
    <vt:lpwstr>Standard</vt:lpwstr>
  </property>
  <property fmtid="{D5CDD505-2E9C-101B-9397-08002B2CF9AE}" pid="8" name="MSIP_Label_8fbf575c-36da-44f7-a26b-6804f2bce3ff_Name">
    <vt:lpwstr>8fbf575c-36da-44f7-a26b-6804f2bce3ff</vt:lpwstr>
  </property>
  <property fmtid="{D5CDD505-2E9C-101B-9397-08002B2CF9AE}" pid="9" name="MSIP_Label_8fbf575c-36da-44f7-a26b-6804f2bce3ff_SiteId">
    <vt:lpwstr>edf3cfc4-ee60-4b92-a2cb-da2c123fc895</vt:lpwstr>
  </property>
  <property fmtid="{D5CDD505-2E9C-101B-9397-08002B2CF9AE}" pid="10" name="MSIP_Label_8fbf575c-36da-44f7-a26b-6804f2bce3ff_ActionId">
    <vt:lpwstr>8eba34b0-816d-4e96-9d95-7ae4551ce3cc</vt:lpwstr>
  </property>
  <property fmtid="{D5CDD505-2E9C-101B-9397-08002B2CF9AE}" pid="11" name="MSIP_Label_8fbf575c-36da-44f7-a26b-6804f2bce3ff_ContentBits">
    <vt:lpwstr>2</vt:lpwstr>
  </property>
</Properties>
</file>