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9F0" w14:textId="08625E21" w:rsidR="00FC21B9" w:rsidRPr="004479E8" w:rsidRDefault="00FC21B9" w:rsidP="00FC21B9">
      <w:pPr>
        <w:spacing w:before="100" w:beforeAutospacing="1" w:after="100" w:afterAutospacing="1" w:line="240" w:lineRule="auto"/>
        <w:jc w:val="right"/>
        <w:outlineLvl w:val="0"/>
        <w:rPr>
          <w:rFonts w:ascii="Century Gothic" w:hAnsi="Century Gothic"/>
          <w:sz w:val="18"/>
          <w:szCs w:val="18"/>
        </w:rPr>
      </w:pPr>
      <w:r w:rsidRPr="004479E8">
        <w:rPr>
          <w:rFonts w:ascii="Century Gothic" w:hAnsi="Century Gothic"/>
          <w:sz w:val="18"/>
          <w:szCs w:val="18"/>
        </w:rPr>
        <w:t>ACI/</w:t>
      </w:r>
      <w:r w:rsidR="00C00074">
        <w:rPr>
          <w:rFonts w:ascii="Century Gothic" w:hAnsi="Century Gothic"/>
          <w:sz w:val="18"/>
          <w:szCs w:val="18"/>
        </w:rPr>
        <w:t>672</w:t>
      </w:r>
      <w:r w:rsidRPr="004479E8">
        <w:rPr>
          <w:rFonts w:ascii="Century Gothic" w:hAnsi="Century Gothic"/>
          <w:sz w:val="18"/>
          <w:szCs w:val="18"/>
        </w:rPr>
        <w:t>/</w:t>
      </w:r>
      <w:r w:rsidR="00C00074">
        <w:rPr>
          <w:rFonts w:ascii="Century Gothic" w:hAnsi="Century Gothic"/>
          <w:sz w:val="18"/>
          <w:szCs w:val="18"/>
        </w:rPr>
        <w:t>03</w:t>
      </w:r>
      <w:r w:rsidRPr="004479E8">
        <w:rPr>
          <w:rFonts w:ascii="Century Gothic" w:hAnsi="Century Gothic"/>
          <w:sz w:val="18"/>
          <w:szCs w:val="18"/>
        </w:rPr>
        <w:t>-202</w:t>
      </w:r>
      <w:r w:rsidR="00C00074">
        <w:rPr>
          <w:rFonts w:ascii="Century Gothic" w:hAnsi="Century Gothic"/>
          <w:sz w:val="18"/>
          <w:szCs w:val="18"/>
        </w:rPr>
        <w:t>3</w:t>
      </w:r>
    </w:p>
    <w:p w14:paraId="01904839" w14:textId="2C8C4642" w:rsidR="00521221" w:rsidRDefault="004479E8" w:rsidP="004479E8">
      <w:pPr>
        <w:spacing w:after="0" w:line="240" w:lineRule="auto"/>
        <w:rPr>
          <w:rFonts w:ascii="Century Gothic" w:hAnsi="Century Gothic"/>
          <w:b/>
          <w:bCs/>
        </w:rPr>
      </w:pPr>
      <w:r w:rsidRPr="004479E8">
        <w:rPr>
          <w:rFonts w:ascii="Century Gothic" w:hAnsi="Century Gothic"/>
          <w:b/>
          <w:bCs/>
        </w:rPr>
        <w:t xml:space="preserve">ACIDOLAC® </w:t>
      </w:r>
      <w:r w:rsidR="00521221" w:rsidRPr="004479E8">
        <w:rPr>
          <w:rFonts w:ascii="Century Gothic" w:hAnsi="Century Gothic"/>
          <w:b/>
          <w:bCs/>
        </w:rPr>
        <w:t>3 g x 10 saszetek</w:t>
      </w:r>
    </w:p>
    <w:p w14:paraId="1C7022C0" w14:textId="77777777" w:rsidR="00CC46F9" w:rsidRPr="004479E8" w:rsidRDefault="00CC46F9" w:rsidP="004479E8">
      <w:pPr>
        <w:spacing w:after="0" w:line="240" w:lineRule="auto"/>
        <w:rPr>
          <w:rFonts w:ascii="Century Gothic" w:hAnsi="Century Gothic"/>
          <w:b/>
          <w:bCs/>
        </w:rPr>
      </w:pPr>
    </w:p>
    <w:p w14:paraId="0E4FA3D3" w14:textId="22BD4C3D" w:rsidR="004479E8" w:rsidRPr="004479E8" w:rsidRDefault="00D13904" w:rsidP="004479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</w:rPr>
        <w:drawing>
          <wp:inline distT="0" distB="0" distL="0" distR="0" wp14:anchorId="656AFC63" wp14:editId="3D28DD21">
            <wp:extent cx="2619375" cy="1969770"/>
            <wp:effectExtent l="0" t="0" r="952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57" cy="19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57CD" w14:textId="048A5847" w:rsidR="00E634D8" w:rsidRPr="00330138" w:rsidRDefault="00E634D8" w:rsidP="00521221">
      <w:pPr>
        <w:jc w:val="both"/>
        <w:rPr>
          <w:rFonts w:ascii="Century Gothic" w:hAnsi="Century Gothic"/>
          <w:sz w:val="20"/>
          <w:szCs w:val="20"/>
        </w:rPr>
      </w:pPr>
    </w:p>
    <w:p w14:paraId="657CA3FE" w14:textId="44A9E0C7" w:rsidR="004479E8" w:rsidRDefault="004479E8" w:rsidP="004479E8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44694D">
        <w:rPr>
          <w:rFonts w:ascii="Century Gothic" w:hAnsi="Century Gothic"/>
          <w:b/>
          <w:bCs/>
          <w:sz w:val="20"/>
          <w:szCs w:val="20"/>
        </w:rPr>
        <w:t>Acidolac</w:t>
      </w:r>
      <w:proofErr w:type="spellEnd"/>
      <w:r w:rsidRPr="0044694D">
        <w:rPr>
          <w:rFonts w:ascii="Century Gothic" w:hAnsi="Century Gothic"/>
          <w:b/>
          <w:bCs/>
          <w:sz w:val="20"/>
          <w:szCs w:val="20"/>
          <w:vertAlign w:val="superscript"/>
        </w:rPr>
        <w:t>®</w:t>
      </w:r>
      <w:r w:rsidRPr="004479E8">
        <w:rPr>
          <w:rFonts w:ascii="Century Gothic" w:hAnsi="Century Gothic"/>
          <w:sz w:val="20"/>
          <w:szCs w:val="20"/>
        </w:rPr>
        <w:t xml:space="preserve"> suplement diety jest preparatem zawierającym liofilizowane kultury bakterii kwasu mlekowego </w:t>
      </w:r>
      <w:proofErr w:type="spellStart"/>
      <w:r w:rsidRPr="004479E8">
        <w:rPr>
          <w:rFonts w:ascii="Century Gothic" w:hAnsi="Century Gothic"/>
          <w:i/>
          <w:sz w:val="20"/>
          <w:szCs w:val="20"/>
        </w:rPr>
        <w:t>Lactobacillus</w:t>
      </w:r>
      <w:proofErr w:type="spellEnd"/>
      <w:r w:rsidRPr="004479E8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479E8">
        <w:rPr>
          <w:rFonts w:ascii="Century Gothic" w:hAnsi="Century Gothic"/>
          <w:i/>
          <w:sz w:val="20"/>
          <w:szCs w:val="20"/>
        </w:rPr>
        <w:t>rhamnosus</w:t>
      </w:r>
      <w:proofErr w:type="spellEnd"/>
      <w:r w:rsidRPr="004479E8">
        <w:rPr>
          <w:rFonts w:ascii="Century Gothic" w:hAnsi="Century Gothic"/>
          <w:i/>
          <w:sz w:val="20"/>
          <w:szCs w:val="20"/>
        </w:rPr>
        <w:t xml:space="preserve"> GG</w:t>
      </w:r>
      <w:r w:rsidRPr="004479E8">
        <w:rPr>
          <w:rFonts w:ascii="Century Gothic" w:hAnsi="Century Gothic"/>
          <w:sz w:val="20"/>
          <w:szCs w:val="20"/>
        </w:rPr>
        <w:t xml:space="preserve"> ATCC 53103 oraz </w:t>
      </w:r>
      <w:proofErr w:type="spellStart"/>
      <w:r w:rsidRPr="004479E8">
        <w:rPr>
          <w:rFonts w:ascii="Century Gothic" w:hAnsi="Century Gothic"/>
          <w:sz w:val="20"/>
          <w:szCs w:val="20"/>
        </w:rPr>
        <w:t>fruktooligosacharydy</w:t>
      </w:r>
      <w:proofErr w:type="spellEnd"/>
      <w:r w:rsidRPr="004479E8">
        <w:rPr>
          <w:rFonts w:ascii="Century Gothic" w:hAnsi="Century Gothic"/>
          <w:sz w:val="20"/>
          <w:szCs w:val="20"/>
        </w:rPr>
        <w:t xml:space="preserve"> (FOS).</w:t>
      </w:r>
      <w:r w:rsidR="00BB5818">
        <w:rPr>
          <w:rFonts w:ascii="Century Gothic" w:hAnsi="Century Gothic"/>
          <w:sz w:val="20"/>
          <w:szCs w:val="20"/>
        </w:rPr>
        <w:t xml:space="preserve"> </w:t>
      </w:r>
      <w:r w:rsidRPr="004479E8">
        <w:rPr>
          <w:rFonts w:ascii="Century Gothic" w:hAnsi="Century Gothic"/>
          <w:sz w:val="20"/>
          <w:szCs w:val="20"/>
        </w:rPr>
        <w:t xml:space="preserve">Produkt można stosować w trakcie i po antybiotykoterapii w celu uzupełnienia </w:t>
      </w:r>
      <w:proofErr w:type="spellStart"/>
      <w:r w:rsidRPr="004479E8">
        <w:rPr>
          <w:rFonts w:ascii="Century Gothic" w:hAnsi="Century Gothic"/>
          <w:sz w:val="20"/>
          <w:szCs w:val="20"/>
        </w:rPr>
        <w:t>mikrobioty</w:t>
      </w:r>
      <w:proofErr w:type="spellEnd"/>
      <w:r w:rsidRPr="004479E8">
        <w:rPr>
          <w:rFonts w:ascii="Century Gothic" w:hAnsi="Century Gothic"/>
          <w:sz w:val="20"/>
          <w:szCs w:val="20"/>
        </w:rPr>
        <w:t xml:space="preserve"> jelitowej (flory bakteryjnej jelit).</w:t>
      </w:r>
      <w:r>
        <w:rPr>
          <w:rFonts w:ascii="Century Gothic" w:hAnsi="Century Gothic"/>
          <w:sz w:val="20"/>
          <w:szCs w:val="20"/>
        </w:rPr>
        <w:t xml:space="preserve"> </w:t>
      </w:r>
      <w:r w:rsidRPr="004479E8">
        <w:rPr>
          <w:rFonts w:ascii="Century Gothic" w:hAnsi="Century Gothic"/>
          <w:sz w:val="20"/>
          <w:szCs w:val="20"/>
        </w:rPr>
        <w:t xml:space="preserve">Można stosować także w podróży ze zmianą strefy klimatycznej, kiedy w przewodzie pokarmowym może dojść do zmian w składzie </w:t>
      </w:r>
      <w:proofErr w:type="spellStart"/>
      <w:r w:rsidRPr="004479E8">
        <w:rPr>
          <w:rFonts w:ascii="Century Gothic" w:hAnsi="Century Gothic"/>
          <w:sz w:val="20"/>
          <w:szCs w:val="20"/>
        </w:rPr>
        <w:t>mikrobioty</w:t>
      </w:r>
      <w:proofErr w:type="spellEnd"/>
      <w:r w:rsidRPr="004479E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4479E8">
        <w:rPr>
          <w:rFonts w:ascii="Century Gothic" w:hAnsi="Century Gothic"/>
          <w:sz w:val="20"/>
          <w:szCs w:val="20"/>
        </w:rPr>
        <w:t>Połączenie składników ułatwia zasiedlanie jelita przez bakterie i wydłuża czas ich przeżycia.</w:t>
      </w:r>
    </w:p>
    <w:p w14:paraId="3C14F8F8" w14:textId="2961494E" w:rsidR="001F0802" w:rsidRPr="001F0802" w:rsidRDefault="001A356E" w:rsidP="001F0802">
      <w:pPr>
        <w:jc w:val="both"/>
        <w:rPr>
          <w:rFonts w:ascii="Century Gothic" w:hAnsi="Century Gothic"/>
          <w:sz w:val="20"/>
          <w:szCs w:val="20"/>
        </w:rPr>
      </w:pPr>
      <w:r w:rsidRPr="001A356E">
        <w:rPr>
          <w:rStyle w:val="descrhead"/>
          <w:rFonts w:ascii="Century Gothic" w:hAnsi="Century Gothic"/>
          <w:b/>
          <w:bCs/>
          <w:sz w:val="20"/>
          <w:szCs w:val="20"/>
        </w:rPr>
        <w:t>Składniki:</w:t>
      </w:r>
      <w:r w:rsidR="001F0802">
        <w:rPr>
          <w:rStyle w:val="descrhead"/>
          <w:rFonts w:ascii="Century Gothic" w:hAnsi="Century Gothic"/>
          <w:b/>
          <w:bCs/>
          <w:sz w:val="20"/>
          <w:szCs w:val="20"/>
        </w:rPr>
        <w:t xml:space="preserve"> </w:t>
      </w:r>
      <w:r w:rsidRPr="00330138">
        <w:rPr>
          <w:rStyle w:val="descrbody"/>
          <w:rFonts w:ascii="Century Gothic" w:hAnsi="Century Gothic"/>
          <w:sz w:val="20"/>
          <w:szCs w:val="20"/>
        </w:rPr>
        <w:t xml:space="preserve">1 saszetka zawiera liofilizowane kultury bakterii </w:t>
      </w:r>
      <w:proofErr w:type="spellStart"/>
      <w:r w:rsidRPr="00330138">
        <w:rPr>
          <w:rStyle w:val="descrbody"/>
          <w:rFonts w:ascii="Century Gothic" w:hAnsi="Century Gothic"/>
          <w:i/>
          <w:iCs/>
          <w:sz w:val="20"/>
          <w:szCs w:val="20"/>
        </w:rPr>
        <w:t>Lactobacillus</w:t>
      </w:r>
      <w:proofErr w:type="spellEnd"/>
      <w:r w:rsidRPr="00330138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330138">
        <w:rPr>
          <w:rStyle w:val="descrbody"/>
          <w:rFonts w:ascii="Century Gothic" w:hAnsi="Century Gothic"/>
          <w:i/>
          <w:iCs/>
          <w:sz w:val="20"/>
          <w:szCs w:val="20"/>
        </w:rPr>
        <w:t>rhamnosus</w:t>
      </w:r>
      <w:proofErr w:type="spellEnd"/>
      <w:r w:rsidRPr="00330138">
        <w:rPr>
          <w:rStyle w:val="descrbody"/>
          <w:rFonts w:ascii="Century Gothic" w:hAnsi="Century Gothic"/>
          <w:i/>
          <w:iCs/>
          <w:sz w:val="20"/>
          <w:szCs w:val="20"/>
        </w:rPr>
        <w:t xml:space="preserve"> GG </w:t>
      </w:r>
      <w:r>
        <w:rPr>
          <w:rStyle w:val="descrbody"/>
          <w:rFonts w:ascii="Century Gothic" w:hAnsi="Century Gothic"/>
          <w:sz w:val="20"/>
          <w:szCs w:val="20"/>
        </w:rPr>
        <w:t xml:space="preserve">1 </w:t>
      </w:r>
      <w:r w:rsidRPr="00330138">
        <w:rPr>
          <w:rStyle w:val="descrbody"/>
          <w:rFonts w:ascii="Century Gothic" w:hAnsi="Century Gothic"/>
          <w:sz w:val="20"/>
          <w:szCs w:val="20"/>
        </w:rPr>
        <w:t>mld (</w:t>
      </w:r>
      <w:r>
        <w:rPr>
          <w:rStyle w:val="descrbody"/>
          <w:rFonts w:ascii="Century Gothic" w:hAnsi="Century Gothic"/>
          <w:sz w:val="20"/>
          <w:szCs w:val="20"/>
        </w:rPr>
        <w:t>1</w:t>
      </w:r>
      <w:r w:rsidRPr="00330138">
        <w:rPr>
          <w:rStyle w:val="descrbody"/>
          <w:rFonts w:ascii="Century Gothic" w:hAnsi="Century Gothic"/>
          <w:sz w:val="20"/>
          <w:szCs w:val="20"/>
        </w:rPr>
        <w:t>x10</w:t>
      </w:r>
      <w:r w:rsidRPr="00330138">
        <w:rPr>
          <w:rStyle w:val="descrbody"/>
          <w:rFonts w:ascii="Century Gothic" w:hAnsi="Century Gothic"/>
          <w:sz w:val="20"/>
          <w:szCs w:val="20"/>
          <w:vertAlign w:val="superscript"/>
        </w:rPr>
        <w:t>9</w:t>
      </w:r>
      <w:r w:rsidRPr="00330138">
        <w:rPr>
          <w:rStyle w:val="descrbody"/>
          <w:rFonts w:ascii="Century Gothic" w:hAnsi="Century Gothic"/>
          <w:sz w:val="20"/>
          <w:szCs w:val="20"/>
        </w:rPr>
        <w:t xml:space="preserve"> CFU) oraz </w:t>
      </w:r>
      <w:proofErr w:type="spellStart"/>
      <w:r w:rsidRPr="00330138">
        <w:rPr>
          <w:rStyle w:val="descrbody"/>
          <w:rFonts w:ascii="Century Gothic" w:hAnsi="Century Gothic"/>
          <w:sz w:val="20"/>
          <w:szCs w:val="20"/>
        </w:rPr>
        <w:t>fruktooligosacharydy</w:t>
      </w:r>
      <w:proofErr w:type="spellEnd"/>
      <w:r w:rsidRPr="00330138">
        <w:rPr>
          <w:rStyle w:val="descrbody"/>
          <w:rFonts w:ascii="Century Gothic" w:hAnsi="Century Gothic"/>
          <w:sz w:val="20"/>
          <w:szCs w:val="20"/>
        </w:rPr>
        <w:t xml:space="preserve"> (FOS).</w:t>
      </w:r>
      <w:r w:rsidR="001F0802">
        <w:rPr>
          <w:rStyle w:val="descrbody"/>
          <w:rFonts w:ascii="Century Gothic" w:hAnsi="Century Gothic"/>
          <w:sz w:val="20"/>
          <w:szCs w:val="20"/>
        </w:rPr>
        <w:t xml:space="preserve"> </w:t>
      </w:r>
      <w:proofErr w:type="spellStart"/>
      <w:r w:rsidR="001F0802" w:rsidRPr="004479E8">
        <w:rPr>
          <w:rStyle w:val="descrbody"/>
          <w:rFonts w:ascii="Century Gothic" w:hAnsi="Century Gothic"/>
          <w:sz w:val="20"/>
          <w:szCs w:val="20"/>
        </w:rPr>
        <w:t>Acidolac</w:t>
      </w:r>
      <w:proofErr w:type="spellEnd"/>
      <w:r w:rsidR="001F0802" w:rsidRPr="004479E8">
        <w:rPr>
          <w:rStyle w:val="descrbody"/>
          <w:rFonts w:ascii="Century Gothic" w:hAnsi="Century Gothic"/>
          <w:sz w:val="20"/>
          <w:szCs w:val="20"/>
        </w:rPr>
        <w:t>® suplement diety to produkt bezglutenowy, nie zawiera mleka krowiego i laktozy i może być podawany osobom, które nie tolerują tych składników.</w:t>
      </w:r>
    </w:p>
    <w:p w14:paraId="5B19B30B" w14:textId="0291A68A" w:rsidR="001F0802" w:rsidRDefault="00521221" w:rsidP="00EF7928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  <w:r w:rsidRPr="0044694D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Zalecane spożycie:</w:t>
      </w:r>
      <w:r w:rsidR="00CC46F9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4479E8" w:rsidRPr="004479E8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 xml:space="preserve">Niemowlęta i dzieci do 3. roku życia: 1 saszetka dziennie. Dzieci powyżej 3. roku życia i dorośli: 1-2 saszetki dziennie. </w:t>
      </w:r>
    </w:p>
    <w:p w14:paraId="28AEAC8A" w14:textId="77777777" w:rsidR="00EF7928" w:rsidRPr="00EF7928" w:rsidRDefault="00EF7928" w:rsidP="00EF7928"/>
    <w:p w14:paraId="1C65A3A5" w14:textId="053C2C65" w:rsidR="004479E8" w:rsidRPr="0044694D" w:rsidRDefault="004479E8" w:rsidP="004479E8">
      <w:pPr>
        <w:pStyle w:val="Nagwek3"/>
        <w:jc w:val="both"/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</w:pPr>
      <w:r w:rsidRPr="0044694D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Sposób przygotowania:</w:t>
      </w:r>
    </w:p>
    <w:p w14:paraId="65932077" w14:textId="72D19022" w:rsidR="004479E8" w:rsidRPr="004479E8" w:rsidRDefault="004479E8" w:rsidP="004479E8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  <w:r w:rsidRPr="004479E8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>Zawartość saszetki podawać bezpośrednio do jamy ustnej lub rozpuścić w płynie o temperaturze maksymalnie 37 °C. W przypadku niemowląt karmionych piersią zaleca się rozpuszczenie zawartości saszetki w ściągniętym mleku matki.</w:t>
      </w:r>
    </w:p>
    <w:p w14:paraId="2A9CDA80" w14:textId="3B898DCB" w:rsidR="004479E8" w:rsidRDefault="004479E8" w:rsidP="004479E8">
      <w:pPr>
        <w:jc w:val="both"/>
        <w:rPr>
          <w:rStyle w:val="descrbody"/>
          <w:rFonts w:ascii="Century Gothic" w:hAnsi="Century Gothic"/>
          <w:sz w:val="20"/>
          <w:szCs w:val="20"/>
        </w:rPr>
      </w:pPr>
      <w:r w:rsidRPr="004479E8">
        <w:rPr>
          <w:rStyle w:val="descrbody"/>
          <w:rFonts w:ascii="Century Gothic" w:hAnsi="Century Gothic"/>
          <w:sz w:val="20"/>
          <w:szCs w:val="20"/>
        </w:rPr>
        <w:t>Preparat należy spożyć bezpośrednio po przygotowaniu.</w:t>
      </w:r>
    </w:p>
    <w:p w14:paraId="0688677A" w14:textId="77777777" w:rsidR="003B50B6" w:rsidRPr="00477B99" w:rsidRDefault="003B50B6" w:rsidP="003B50B6">
      <w:pPr>
        <w:pStyle w:val="Bezodstpw"/>
        <w:jc w:val="both"/>
        <w:rPr>
          <w:rFonts w:ascii="Century Gothic" w:hAnsi="Century Gothic"/>
          <w:b/>
          <w:bCs/>
        </w:rPr>
      </w:pPr>
      <w:r w:rsidRPr="00477B99">
        <w:rPr>
          <w:rStyle w:val="descrhead"/>
          <w:rFonts w:ascii="Century Gothic" w:hAnsi="Century Gothic"/>
          <w:b/>
          <w:bCs/>
        </w:rPr>
        <w:t>Bezpieczeństwo stosowania:</w:t>
      </w:r>
    </w:p>
    <w:p w14:paraId="39F66FCA" w14:textId="77777777" w:rsidR="003B50B6" w:rsidRPr="00A728B5" w:rsidRDefault="003B50B6" w:rsidP="003B50B6">
      <w:pPr>
        <w:pStyle w:val="Teksttreci1"/>
        <w:shd w:val="clear" w:color="auto" w:fill="auto"/>
        <w:spacing w:line="240" w:lineRule="auto"/>
        <w:ind w:firstLine="0"/>
        <w:jc w:val="both"/>
        <w:rPr>
          <w:rFonts w:ascii="Century Gothic" w:hAnsi="Century Gothic"/>
          <w:color w:val="000000"/>
          <w:sz w:val="20"/>
          <w:szCs w:val="20"/>
        </w:rPr>
      </w:pPr>
      <w:r w:rsidRPr="00A728B5">
        <w:rPr>
          <w:rFonts w:ascii="Century Gothic" w:hAnsi="Century Gothic"/>
          <w:color w:val="000000"/>
          <w:sz w:val="20"/>
          <w:szCs w:val="20"/>
        </w:rPr>
        <w:t xml:space="preserve">Nie należy przekraczać zalecanej porcji do spożycia w ciągu dnia. Zrównoważona i zróżnicowana dieta oraz zdrowy styl życia są podstawą zapewnienia prawidłowego funkcjonowania organizmu. Suplement diety nie może być stosowany jako substytut zróżnicowanej diety. </w:t>
      </w:r>
      <w:r w:rsidRPr="00A728B5">
        <w:rPr>
          <w:rFonts w:ascii="Century Gothic" w:eastAsia="Microsoft Sans Serif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13EADB32" w14:textId="01672D2C" w:rsidR="00FE5ABB" w:rsidRDefault="00FE5ABB" w:rsidP="004479E8">
      <w:pPr>
        <w:jc w:val="both"/>
        <w:rPr>
          <w:rStyle w:val="descrbody"/>
          <w:rFonts w:ascii="Century Gothic" w:hAnsi="Century Gothic"/>
          <w:sz w:val="20"/>
          <w:szCs w:val="20"/>
        </w:rPr>
      </w:pPr>
    </w:p>
    <w:p w14:paraId="3C760628" w14:textId="5C2C6E6D" w:rsidR="00597245" w:rsidRDefault="00FE5ABB" w:rsidP="00597245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983324">
        <w:rPr>
          <w:rFonts w:ascii="Century Gothic" w:hAnsi="Century Gothic"/>
          <w:b/>
          <w:color w:val="000000"/>
          <w:sz w:val="20"/>
          <w:szCs w:val="20"/>
        </w:rPr>
        <w:t>*C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olony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F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orming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U</w:t>
      </w:r>
      <w:r w:rsidRPr="00983324">
        <w:rPr>
          <w:rFonts w:ascii="Century Gothic" w:hAnsi="Century Gothic"/>
          <w:color w:val="000000"/>
          <w:sz w:val="20"/>
          <w:szCs w:val="20"/>
        </w:rPr>
        <w:t>nit - jednostka tworząca kolonię bakterii</w:t>
      </w:r>
    </w:p>
    <w:p w14:paraId="2F9543A2" w14:textId="77777777" w:rsidR="00EF7928" w:rsidRPr="00EF7928" w:rsidRDefault="00EF7928" w:rsidP="00597245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74631AB" w14:textId="77B39F6B" w:rsidR="00597245" w:rsidRPr="00477B99" w:rsidRDefault="00597245" w:rsidP="00EF7928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77B99">
        <w:rPr>
          <w:rFonts w:ascii="Century Gothic" w:hAnsi="Century Gothic"/>
          <w:b/>
          <w:bCs/>
          <w:sz w:val="20"/>
          <w:szCs w:val="20"/>
        </w:rPr>
        <w:t>Podmiot odpowiedzialny za informację:</w:t>
      </w:r>
    </w:p>
    <w:p w14:paraId="5AEC73EA" w14:textId="0EEC5F4A" w:rsidR="00597245" w:rsidRPr="00A728B5" w:rsidRDefault="00597245" w:rsidP="00EF7928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Zakłady Farmaceutyczne POLPHARMA S.A.</w:t>
      </w:r>
    </w:p>
    <w:p w14:paraId="3C27CF85" w14:textId="436F73EF" w:rsidR="00597245" w:rsidRPr="00A728B5" w:rsidRDefault="00597245" w:rsidP="00EF7928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ul. Pelplińska 19</w:t>
      </w:r>
    </w:p>
    <w:p w14:paraId="130111FA" w14:textId="16CC338E" w:rsidR="003254EC" w:rsidRPr="00330138" w:rsidRDefault="00EF7928" w:rsidP="00EF7928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Style w:val="descrbody"/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172610" wp14:editId="1ACCE8A5">
            <wp:simplePos x="0" y="0"/>
            <wp:positionH relativeFrom="column">
              <wp:posOffset>4415155</wp:posOffset>
            </wp:positionH>
            <wp:positionV relativeFrom="paragraph">
              <wp:posOffset>-185420</wp:posOffset>
            </wp:positionV>
            <wp:extent cx="1579245" cy="341630"/>
            <wp:effectExtent l="0" t="0" r="1905" b="1270"/>
            <wp:wrapTight wrapText="bothSides">
              <wp:wrapPolygon edited="0">
                <wp:start x="0" y="0"/>
                <wp:lineTo x="0" y="20476"/>
                <wp:lineTo x="21366" y="20476"/>
                <wp:lineTo x="21366" y="0"/>
                <wp:lineTo x="0" y="0"/>
              </wp:wrapPolygon>
            </wp:wrapTight>
            <wp:docPr id="3" name="Obraz 3" descr="Obraz zawierający tekst, uderz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uderz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245" w:rsidRPr="00A728B5">
        <w:rPr>
          <w:rFonts w:ascii="Century Gothic" w:hAnsi="Century Gothic"/>
          <w:sz w:val="20"/>
          <w:szCs w:val="20"/>
        </w:rPr>
        <w:t>83-200 Starogard Gdański</w:t>
      </w:r>
    </w:p>
    <w:sectPr w:rsidR="003254EC" w:rsidRPr="00330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7281" w14:textId="77777777" w:rsidR="00EC3BDC" w:rsidRDefault="00EC3BDC" w:rsidP="00F11D56">
      <w:pPr>
        <w:spacing w:after="0" w:line="240" w:lineRule="auto"/>
      </w:pPr>
      <w:r>
        <w:separator/>
      </w:r>
    </w:p>
  </w:endnote>
  <w:endnote w:type="continuationSeparator" w:id="0">
    <w:p w14:paraId="6042C3AB" w14:textId="77777777" w:rsidR="00EC3BDC" w:rsidRDefault="00EC3BDC" w:rsidP="00F1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0F41" w14:textId="77777777" w:rsidR="00F11D56" w:rsidRDefault="00F11D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4F17" w14:textId="79CDB4A9" w:rsidR="00F11D56" w:rsidRDefault="00F11D5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98B8A5" wp14:editId="05B5F36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8724dde9ddafd6050bd117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8D8FA" w14:textId="086772EA" w:rsidR="00F11D56" w:rsidRPr="00F11D56" w:rsidRDefault="00F11D56" w:rsidP="00F11D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1D5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8B8A5" id="_x0000_t202" coordsize="21600,21600" o:spt="202" path="m,l,21600r21600,l21600,xe">
              <v:stroke joinstyle="miter"/>
              <v:path gradientshapeok="t" o:connecttype="rect"/>
            </v:shapetype>
            <v:shape id="MSIPCM98724dde9ddafd6050bd117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998D8FA" w14:textId="086772EA" w:rsidR="00F11D56" w:rsidRPr="00F11D56" w:rsidRDefault="00F11D56" w:rsidP="00F11D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1D5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6987" w14:textId="77777777" w:rsidR="00F11D56" w:rsidRDefault="00F11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6450" w14:textId="77777777" w:rsidR="00EC3BDC" w:rsidRDefault="00EC3BDC" w:rsidP="00F11D56">
      <w:pPr>
        <w:spacing w:after="0" w:line="240" w:lineRule="auto"/>
      </w:pPr>
      <w:r>
        <w:separator/>
      </w:r>
    </w:p>
  </w:footnote>
  <w:footnote w:type="continuationSeparator" w:id="0">
    <w:p w14:paraId="5F28D3AC" w14:textId="77777777" w:rsidR="00EC3BDC" w:rsidRDefault="00EC3BDC" w:rsidP="00F1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D243" w14:textId="77777777" w:rsidR="00F11D56" w:rsidRDefault="00F11D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6E74" w14:textId="77777777" w:rsidR="00F11D56" w:rsidRDefault="00F11D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5A69" w14:textId="77777777" w:rsidR="00F11D56" w:rsidRDefault="00F11D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0"/>
    <w:rsid w:val="001A356E"/>
    <w:rsid w:val="001A50D0"/>
    <w:rsid w:val="001F0802"/>
    <w:rsid w:val="003254EC"/>
    <w:rsid w:val="00330138"/>
    <w:rsid w:val="00337A67"/>
    <w:rsid w:val="003B50B6"/>
    <w:rsid w:val="0044694D"/>
    <w:rsid w:val="004479E8"/>
    <w:rsid w:val="00521221"/>
    <w:rsid w:val="00597245"/>
    <w:rsid w:val="00B9549A"/>
    <w:rsid w:val="00BB5818"/>
    <w:rsid w:val="00C00074"/>
    <w:rsid w:val="00CC46F9"/>
    <w:rsid w:val="00D13904"/>
    <w:rsid w:val="00D64AF8"/>
    <w:rsid w:val="00E46CFF"/>
    <w:rsid w:val="00E634D8"/>
    <w:rsid w:val="00EC3BDC"/>
    <w:rsid w:val="00EF7928"/>
    <w:rsid w:val="00F11D56"/>
    <w:rsid w:val="00FC21B9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5F488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  <w:style w:type="paragraph" w:styleId="Nagwek">
    <w:name w:val="header"/>
    <w:basedOn w:val="Normalny"/>
    <w:link w:val="NagwekZnak"/>
    <w:uiPriority w:val="99"/>
    <w:unhideWhenUsed/>
    <w:rsid w:val="00F1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D56"/>
  </w:style>
  <w:style w:type="paragraph" w:styleId="Stopka">
    <w:name w:val="footer"/>
    <w:basedOn w:val="Normalny"/>
    <w:link w:val="StopkaZnak"/>
    <w:uiPriority w:val="99"/>
    <w:unhideWhenUsed/>
    <w:rsid w:val="00F1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56"/>
  </w:style>
  <w:style w:type="paragraph" w:styleId="Bezodstpw">
    <w:name w:val="No Spacing"/>
    <w:link w:val="BezodstpwZnak"/>
    <w:qFormat/>
    <w:rsid w:val="003B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3B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3B50B6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B50B6"/>
    <w:pPr>
      <w:shd w:val="clear" w:color="auto" w:fill="FFFFFF"/>
      <w:spacing w:after="0" w:line="240" w:lineRule="atLeast"/>
      <w:ind w:hanging="1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Kacprzuk Magdalena</cp:lastModifiedBy>
  <cp:revision>14</cp:revision>
  <dcterms:created xsi:type="dcterms:W3CDTF">2023-03-09T12:33:00Z</dcterms:created>
  <dcterms:modified xsi:type="dcterms:W3CDTF">2023-03-09T12:43:00Z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2022-06-01T11:48:54Z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b6928f64-8272-49b4-aef4-6cc1441385a0</vt:lpwstr>
  </property>
  <property fmtid="{D5CDD505-2E9C-101B-9397-08002B2CF9AE}" pid="8" name="MSIP_Label_8fbf575c-36da-44f7-a26b-6804f2bce3ff_ContentBits">
    <vt:lpwstr>2</vt:lpwstr>
  </property>
</Properties>
</file>