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55DF" w14:textId="77777777" w:rsidR="001C1C52" w:rsidRDefault="004F5CF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b/>
          <w:color w:val="7030A0"/>
        </w:rPr>
      </w:pPr>
      <w:r>
        <w:rPr>
          <w:b/>
          <w:color w:val="7030A0"/>
        </w:rPr>
        <w:t>LANOSKIN®</w:t>
      </w:r>
    </w:p>
    <w:p w14:paraId="2ECD2780" w14:textId="77777777" w:rsidR="001C1C52" w:rsidRDefault="004F5CF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</w:rPr>
      </w:pPr>
      <w:r>
        <w:rPr>
          <w:color w:val="000000"/>
        </w:rPr>
        <w:t>KOSMETYK, krem</w:t>
      </w:r>
    </w:p>
    <w:p w14:paraId="0F713687" w14:textId="77777777" w:rsidR="001C1C52" w:rsidRDefault="004F5CF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</w:rPr>
      </w:pPr>
      <w:r>
        <w:rPr>
          <w:color w:val="000000"/>
        </w:rPr>
        <w:t>30 g</w:t>
      </w:r>
    </w:p>
    <w:p w14:paraId="05458CC9" w14:textId="77777777" w:rsidR="001C1C52" w:rsidRDefault="004F5CF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</w:rPr>
      </w:pPr>
      <w:r>
        <w:rPr>
          <w:color w:val="000000"/>
        </w:rPr>
        <w:t>100% lanolina (hipoalergiczna, bezwodna, bezbarwna, bezwonna).</w:t>
      </w:r>
    </w:p>
    <w:p w14:paraId="1D97C513" w14:textId="77777777" w:rsidR="004F5CFE" w:rsidRDefault="004F5CF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</w:rPr>
      </w:pPr>
    </w:p>
    <w:p w14:paraId="05208183" w14:textId="55C2BDCC" w:rsidR="004F5CFE" w:rsidRDefault="004F5CF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</w:rPr>
      </w:pPr>
      <w:r>
        <w:rPr>
          <w:noProof/>
        </w:rPr>
        <w:drawing>
          <wp:inline distT="0" distB="0" distL="0" distR="0" wp14:anchorId="53995FCE" wp14:editId="07F3A025">
            <wp:extent cx="4373880" cy="2794423"/>
            <wp:effectExtent l="0" t="0" r="7620" b="6350"/>
            <wp:docPr id="2079249476" name="Obraz 1" descr="Obraz zawierający tekst, przybory toaletowe, Pielęgnacja skóry, krem do skór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249476" name="Obraz 1" descr="Obraz zawierający tekst, przybory toaletowe, Pielęgnacja skóry, krem do skóry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95" b="18915"/>
                    <a:stretch/>
                  </pic:blipFill>
                  <pic:spPr bwMode="auto">
                    <a:xfrm>
                      <a:off x="0" y="0"/>
                      <a:ext cx="4378176" cy="279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36AB89" w14:textId="77777777" w:rsidR="001C1C52" w:rsidRDefault="001C1C52"/>
    <w:p w14:paraId="445F84EB" w14:textId="77777777" w:rsidR="001C1C52" w:rsidRDefault="004F5CF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7030A0"/>
        </w:rPr>
      </w:pPr>
      <w:r>
        <w:rPr>
          <w:color w:val="7030A0"/>
        </w:rPr>
        <w:t>PODRAŻNIENIA, SUCHOŚĆ</w:t>
      </w:r>
    </w:p>
    <w:p w14:paraId="1F7AFAF2" w14:textId="77777777" w:rsidR="001C1C52" w:rsidRDefault="004F5CF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</w:rPr>
      </w:pPr>
      <w:r>
        <w:rPr>
          <w:color w:val="000000"/>
        </w:rPr>
        <w:t>Pielęgnacja skóry suchej, wrażliwej i podrażnionej.</w:t>
      </w:r>
    </w:p>
    <w:p w14:paraId="202B3D88" w14:textId="77777777" w:rsidR="004F5CFE" w:rsidRDefault="004F5CF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</w:rPr>
      </w:pPr>
    </w:p>
    <w:p w14:paraId="4BF9EC02" w14:textId="77777777" w:rsidR="001C1C52" w:rsidRDefault="004F5CF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</w:rPr>
      </w:pPr>
      <w:r>
        <w:rPr>
          <w:color w:val="000000"/>
        </w:rPr>
        <w:t xml:space="preserve">• Skutecznie odżywia, wygładza i nawilża skórę, tworząc na jej </w:t>
      </w:r>
      <w:r>
        <w:rPr>
          <w:color w:val="000000"/>
        </w:rPr>
        <w:t xml:space="preserve">powierzchni warstwę </w:t>
      </w:r>
      <w:proofErr w:type="spellStart"/>
      <w:r>
        <w:rPr>
          <w:color w:val="000000"/>
        </w:rPr>
        <w:t>okluzyjną</w:t>
      </w:r>
      <w:proofErr w:type="spellEnd"/>
      <w:r>
        <w:rPr>
          <w:color w:val="000000"/>
        </w:rPr>
        <w:t>, która zapobiega nadmiernej utracie wody z naskórka.</w:t>
      </w:r>
    </w:p>
    <w:p w14:paraId="4DDFD740" w14:textId="77777777" w:rsidR="001C1C52" w:rsidRDefault="004F5CF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</w:rPr>
      </w:pPr>
      <w:r>
        <w:rPr>
          <w:color w:val="000000"/>
        </w:rPr>
        <w:t>• Wspiera barierę ochronną skóry, sprawiając, że staje się bardziej odporna na działanie niekorzystnych warunków atmosferycznych.</w:t>
      </w:r>
    </w:p>
    <w:p w14:paraId="1F5199E1" w14:textId="77777777" w:rsidR="001C1C52" w:rsidRDefault="004F5CF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</w:rPr>
      </w:pPr>
      <w:r>
        <w:rPr>
          <w:color w:val="000000"/>
        </w:rPr>
        <w:t>• Doskonale nawilża spierzchnięte</w:t>
      </w:r>
    </w:p>
    <w:p w14:paraId="1889083C" w14:textId="77777777" w:rsidR="001C1C52" w:rsidRDefault="004F5CF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</w:rPr>
      </w:pPr>
      <w:r>
        <w:rPr>
          <w:color w:val="000000"/>
        </w:rPr>
        <w:t>i popękane usta, które dodatkowo odżywia i nabłyszcza.</w:t>
      </w:r>
    </w:p>
    <w:p w14:paraId="5C0DA1D0" w14:textId="77777777" w:rsidR="001C1C52" w:rsidRDefault="004F5CF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</w:rPr>
      </w:pPr>
      <w:r>
        <w:rPr>
          <w:color w:val="000000"/>
        </w:rPr>
        <w:t>• Wspomaga łagodzenie podrażnień i otarć, np. spowodowanych częstym wycieraniem nosa.</w:t>
      </w:r>
    </w:p>
    <w:p w14:paraId="1205955D" w14:textId="77777777" w:rsidR="001C1C52" w:rsidRDefault="004F5CF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</w:rPr>
      </w:pPr>
      <w:r>
        <w:rPr>
          <w:color w:val="000000"/>
        </w:rPr>
        <w:t>• Nawilża przesuszoną skórę na łokciach i kolanach.</w:t>
      </w:r>
    </w:p>
    <w:p w14:paraId="7B3FBA5E" w14:textId="77777777" w:rsidR="001C1C52" w:rsidRDefault="004F5CFE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color w:val="000000"/>
        </w:rPr>
      </w:pPr>
      <w:r>
        <w:rPr>
          <w:color w:val="000000"/>
        </w:rPr>
        <w:t xml:space="preserve">• Działa kojąco i osłaniająco przy nadwrażliwej, popękanej skórze </w:t>
      </w:r>
      <w:r>
        <w:rPr>
          <w:color w:val="000000"/>
        </w:rPr>
        <w:t>brodawek w czasie karmienia piersią (nie wymaga zmywania, bezpieczny dla dziecka).</w:t>
      </w:r>
    </w:p>
    <w:p w14:paraId="56DDA115" w14:textId="77777777" w:rsidR="001C1C52" w:rsidRDefault="001C1C52"/>
    <w:p w14:paraId="0F798311" w14:textId="77777777" w:rsidR="001C1C52" w:rsidRDefault="001C1C52"/>
    <w:p w14:paraId="43A5CDE3" w14:textId="77777777" w:rsidR="001C1C52" w:rsidRDefault="001C1C52"/>
    <w:p w14:paraId="4AD84578" w14:textId="77777777" w:rsidR="001C1C52" w:rsidRDefault="004F5CFE">
      <w:r>
        <w:t>LANOS/2025/1021</w:t>
      </w:r>
    </w:p>
    <w:sectPr w:rsidR="001C1C52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B1E09" w14:textId="77777777" w:rsidR="004F5CFE" w:rsidRDefault="004F5CFE">
      <w:r>
        <w:separator/>
      </w:r>
    </w:p>
  </w:endnote>
  <w:endnote w:type="continuationSeparator" w:id="0">
    <w:p w14:paraId="19525B1E" w14:textId="77777777" w:rsidR="004F5CFE" w:rsidRDefault="004F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936B" w14:textId="77777777" w:rsidR="004F5CFE" w:rsidRDefault="004F5CF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9531F" wp14:editId="3996BFF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808181968" name="Pole tekstowe 3" descr="Wewnętrzne / Internal Zakłady Farmaceutyczne POLPHARMA S.A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74EC409" w14:textId="77777777" w:rsidR="004F5CFE" w:rsidRDefault="004F5CFE">
                          <w:pPr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Wewnętrzne /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Zakłady Farmaceutyczne POLPHARMA S.A.</w:t>
                          </w:r>
                        </w:p>
                      </w:txbxContent>
                    </wps:txbx>
                    <wps:bodyPr vert="horz" wrap="none" lIns="254002" tIns="0" rIns="0" bIns="190496" anchor="b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9531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Wewnętrzne / Internal Zakłady Farmaceutyczne POLPHARMA S.A." style="position:absolute;margin-left:0;margin-top:0;width:234pt;height:24.75pt;z-index:251659264;visibility:visible;mso-wrap-style:non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" filled="f" stroked="f">
              <v:textbox style="mso-fit-shape-to-text:t" inset="7.05561mm,0,0,5.29156mm">
                <w:txbxContent>
                  <w:p w14:paraId="674EC409" w14:textId="77777777" w:rsidR="004F5CFE" w:rsidRDefault="004F5CFE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 xml:space="preserve">Wewnętrzne /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Internal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</w:rPr>
                      <w:t xml:space="preserve">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13D23" w14:textId="77777777" w:rsidR="004F5CFE" w:rsidRDefault="004F5CFE">
      <w:r>
        <w:rPr>
          <w:color w:val="000000"/>
        </w:rPr>
        <w:separator/>
      </w:r>
    </w:p>
  </w:footnote>
  <w:footnote w:type="continuationSeparator" w:id="0">
    <w:p w14:paraId="7D4BBDB4" w14:textId="77777777" w:rsidR="004F5CFE" w:rsidRDefault="004F5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1C52"/>
    <w:rsid w:val="001C1C52"/>
    <w:rsid w:val="004F5CFE"/>
    <w:rsid w:val="009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8C9F"/>
  <w15:docId w15:val="{B96A489C-3E8B-41D2-A88E-94D703A5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Calibri" w:eastAsia="Calibri" w:hAnsi="Calibri" w:cs="Calibri"/>
      <w:kern w:val="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 w:cs="Times New Roman"/>
      <w:color w:val="0F4761"/>
      <w:kern w:val="3"/>
      <w:sz w:val="40"/>
      <w:szCs w:val="40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 w:cs="Times New Roman"/>
      <w:color w:val="0F4761"/>
      <w:kern w:val="3"/>
      <w:sz w:val="32"/>
      <w:szCs w:val="32"/>
      <w:lang w:eastAsia="en-US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Aptos" w:eastAsia="Times New Roman" w:hAnsi="Aptos" w:cs="Times New Roman"/>
      <w:color w:val="0F4761"/>
      <w:kern w:val="3"/>
      <w:sz w:val="28"/>
      <w:szCs w:val="28"/>
      <w:lang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Aptos" w:eastAsia="Times New Roman" w:hAnsi="Aptos" w:cs="Times New Roman"/>
      <w:i/>
      <w:iCs/>
      <w:color w:val="0F4761"/>
      <w:kern w:val="3"/>
      <w:lang w:eastAsia="en-US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Aptos" w:eastAsia="Times New Roman" w:hAnsi="Aptos" w:cs="Times New Roman"/>
      <w:color w:val="0F4761"/>
      <w:kern w:val="3"/>
      <w:lang w:eastAsia="en-US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Aptos" w:eastAsia="Times New Roman" w:hAnsi="Aptos" w:cs="Times New Roman"/>
      <w:i/>
      <w:iCs/>
      <w:color w:val="595959"/>
      <w:kern w:val="3"/>
      <w:lang w:eastAsia="en-US"/>
    </w:rPr>
  </w:style>
  <w:style w:type="paragraph" w:styleId="Nagwek7">
    <w:name w:val="heading 7"/>
    <w:basedOn w:val="Normalny"/>
    <w:next w:val="Normalny"/>
    <w:pPr>
      <w:keepNext/>
      <w:keepLines/>
      <w:spacing w:before="40" w:line="276" w:lineRule="auto"/>
      <w:outlineLvl w:val="6"/>
    </w:pPr>
    <w:rPr>
      <w:rFonts w:ascii="Aptos" w:eastAsia="Times New Roman" w:hAnsi="Aptos" w:cs="Times New Roman"/>
      <w:color w:val="595959"/>
      <w:kern w:val="3"/>
      <w:lang w:eastAsia="en-US"/>
    </w:rPr>
  </w:style>
  <w:style w:type="paragraph" w:styleId="Nagwek8">
    <w:name w:val="heading 8"/>
    <w:basedOn w:val="Normalny"/>
    <w:next w:val="Normalny"/>
    <w:pPr>
      <w:keepNext/>
      <w:keepLines/>
      <w:spacing w:line="276" w:lineRule="auto"/>
      <w:outlineLvl w:val="7"/>
    </w:pPr>
    <w:rPr>
      <w:rFonts w:ascii="Aptos" w:eastAsia="Times New Roman" w:hAnsi="Aptos" w:cs="Times New Roman"/>
      <w:i/>
      <w:iCs/>
      <w:color w:val="272727"/>
      <w:kern w:val="3"/>
      <w:lang w:eastAsia="en-US"/>
    </w:rPr>
  </w:style>
  <w:style w:type="paragraph" w:styleId="Nagwek9">
    <w:name w:val="heading 9"/>
    <w:basedOn w:val="Normalny"/>
    <w:next w:val="Normalny"/>
    <w:pPr>
      <w:keepNext/>
      <w:keepLines/>
      <w:spacing w:line="276" w:lineRule="auto"/>
      <w:outlineLvl w:val="8"/>
    </w:pPr>
    <w:rPr>
      <w:rFonts w:ascii="Aptos" w:eastAsia="Times New Roman" w:hAnsi="Aptos" w:cs="Times New Roman"/>
      <w:color w:val="272727"/>
      <w:kern w:val="3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  <w:lang w:eastAsia="en-US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after="160" w:line="276" w:lineRule="auto"/>
    </w:pPr>
    <w:rPr>
      <w:rFonts w:ascii="Aptos" w:eastAsia="Times New Roman" w:hAnsi="Aptos" w:cs="Times New Roman"/>
      <w:color w:val="595959"/>
      <w:spacing w:val="15"/>
      <w:kern w:val="3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after="160" w:line="276" w:lineRule="auto"/>
      <w:jc w:val="center"/>
    </w:pPr>
    <w:rPr>
      <w:rFonts w:ascii="Aptos" w:eastAsia="Aptos" w:hAnsi="Aptos" w:cs="Times New Roman"/>
      <w:i/>
      <w:iCs/>
      <w:color w:val="404040"/>
      <w:kern w:val="3"/>
      <w:lang w:eastAsia="en-US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after="160" w:line="276" w:lineRule="auto"/>
      <w:ind w:left="720"/>
      <w:contextualSpacing/>
    </w:pPr>
    <w:rPr>
      <w:rFonts w:ascii="Aptos" w:eastAsia="Aptos" w:hAnsi="Aptos" w:cs="Times New Roman"/>
      <w:kern w:val="3"/>
      <w:lang w:eastAsia="en-U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 w:cs="Times New Roman"/>
      <w:i/>
      <w:iCs/>
      <w:color w:val="0F4761"/>
      <w:kern w:val="3"/>
      <w:lang w:eastAsia="en-US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 Jan EXT</dc:creator>
  <dc:description/>
  <cp:lastModifiedBy>Gebel Katarzyna</cp:lastModifiedBy>
  <cp:revision>2</cp:revision>
  <dcterms:created xsi:type="dcterms:W3CDTF">2025-03-13T18:18:00Z</dcterms:created>
  <dcterms:modified xsi:type="dcterms:W3CDTF">2025-03-13T18:18:00Z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71fd3d51,36182365,7843a03d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2025-03-06T13:46:09Z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f0385f03-57c2-4321-81dd-f8aa39b8b1ac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MSIP_Label_8fbf575c-36da-44f7-a26b-6804f2bce3ff_Tag">
    <vt:lpwstr>10, 3, 0, 1</vt:lpwstr>
  </property>
</Properties>
</file>