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5BA43D64" w:rsidR="00FF0A9C" w:rsidRDefault="00783C65" w:rsidP="009B2CEE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5A2B4A" wp14:editId="5C3C2FBB">
            <wp:simplePos x="0" y="0"/>
            <wp:positionH relativeFrom="margin">
              <wp:align>right</wp:align>
            </wp:positionH>
            <wp:positionV relativeFrom="paragraph">
              <wp:posOffset>-452120</wp:posOffset>
            </wp:positionV>
            <wp:extent cx="2266950" cy="2927518"/>
            <wp:effectExtent l="0" t="0" r="0" b="6350"/>
            <wp:wrapNone/>
            <wp:docPr id="209239788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92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E" w:rsidRPr="00FF0A9C">
        <w:rPr>
          <w:sz w:val="48"/>
          <w:szCs w:val="48"/>
        </w:rPr>
        <w:t>ZIELNIK APTECZNY</w:t>
      </w:r>
      <w:r w:rsidR="009B2CEE" w:rsidRPr="00FF0A9C">
        <w:rPr>
          <w:b/>
          <w:bCs/>
          <w:sz w:val="48"/>
          <w:szCs w:val="48"/>
        </w:rPr>
        <w:t xml:space="preserve"> </w:t>
      </w:r>
      <w:r w:rsidR="00564AB2">
        <w:rPr>
          <w:b/>
          <w:bCs/>
          <w:sz w:val="48"/>
          <w:szCs w:val="48"/>
        </w:rPr>
        <w:br/>
      </w:r>
      <w:r w:rsidR="00F97531">
        <w:rPr>
          <w:b/>
          <w:bCs/>
          <w:sz w:val="48"/>
          <w:szCs w:val="48"/>
        </w:rPr>
        <w:t>KORA DĘBU</w:t>
      </w:r>
      <w:r w:rsidR="000D3EE0">
        <w:rPr>
          <w:b/>
          <w:bCs/>
          <w:sz w:val="40"/>
          <w:szCs w:val="40"/>
        </w:rPr>
        <w:br/>
      </w:r>
      <w:r w:rsidR="00A40CD5">
        <w:rPr>
          <w:sz w:val="28"/>
          <w:szCs w:val="28"/>
        </w:rPr>
        <w:t>10</w:t>
      </w:r>
      <w:r w:rsidR="00B44F4E">
        <w:rPr>
          <w:sz w:val="28"/>
          <w:szCs w:val="28"/>
        </w:rPr>
        <w:t>0 g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A40CD5">
        <w:rPr>
          <w:sz w:val="32"/>
          <w:szCs w:val="32"/>
        </w:rPr>
        <w:t>Polecany na biegunkę</w:t>
      </w:r>
      <w:r w:rsidR="00391508">
        <w:rPr>
          <w:sz w:val="32"/>
          <w:szCs w:val="32"/>
        </w:rPr>
        <w:t>!</w:t>
      </w:r>
    </w:p>
    <w:p w14:paraId="47658CBC" w14:textId="7D78F6B1" w:rsidR="000D3EE0" w:rsidRDefault="000D3EE0"/>
    <w:p w14:paraId="08DAA293" w14:textId="15DC6E9D" w:rsidR="000D3EE0" w:rsidRDefault="000D3EE0"/>
    <w:p w14:paraId="33C5BCBF" w14:textId="0836B8BD" w:rsidR="00F97531" w:rsidRDefault="00F97531">
      <w:r w:rsidRPr="00F97531">
        <w:rPr>
          <w:b/>
          <w:bCs/>
        </w:rPr>
        <w:t>Kora Dębu. Skład i postać:</w:t>
      </w:r>
      <w:r>
        <w:t xml:space="preserve"> 100 g produktu zawiera 100 g Quercus robur L., Quercus petraea (Matt.) Liebl., Quercus pubescens Willd., cortex (kory dębu). Zioła do zaparzania. </w:t>
      </w:r>
      <w:r w:rsidRPr="00781CD5">
        <w:rPr>
          <w:b/>
          <w:bCs/>
        </w:rPr>
        <w:t>Wskazania:</w:t>
      </w:r>
      <w:r>
        <w:t xml:space="preserve"> Tradycyjny produkt leczniczy roślinny do stosowania w wymienionych wskazaniach, wynikających wyłącznie z jego długotrwałego stosowania. Produkt leczniczy jest wskazany do stosowania u dorosłych. Tradycyjny produkt leczniczy roślinny stosowany w objawowym leczeniu łagodnej biegunki; leczeniu łagodnych stanów zapalnych błony śluzowej jamy ustnej lub skóry; łagodzeniu objawów swędzenia i pieczenia związanych z chorobą hemoroidalną, po wykluczeniu przez lekarza innych ciężkich przypadków chorób. </w:t>
      </w:r>
      <w:r w:rsidRPr="00F97531">
        <w:rPr>
          <w:b/>
          <w:bCs/>
        </w:rPr>
        <w:t>Podmiot odpowiedzialny:</w:t>
      </w:r>
      <w:r>
        <w:t xml:space="preserve"> Zakłady Farmaceutyczne Polpharma S.A. ChPL: 2019.10.16</w:t>
      </w:r>
    </w:p>
    <w:p w14:paraId="04C9B6D4" w14:textId="396113AA" w:rsidR="00E00132" w:rsidRDefault="00FF0A9C">
      <w:pPr>
        <w:rPr>
          <w:rFonts w:eastAsia="Times New Roman" w:cstheme="minorHAnsi"/>
          <w:sz w:val="28"/>
          <w:szCs w:val="28"/>
        </w:rPr>
      </w:pPr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783C65" w:rsidRPr="00783C65">
        <w:rPr>
          <w:rFonts w:eastAsia="Times New Roman" w:cstheme="minorHAnsi"/>
          <w:sz w:val="28"/>
          <w:szCs w:val="28"/>
        </w:rPr>
        <w:t>To jest lek. Dla bezpieczeństwa stosuj go zgodnie z ulotką dołączoną do opakowania i tylko wtedy, gdy jest to konieczne. W przypadku wątpliwości skonsultuj się z lekarzem lub farmaceutą</w:t>
      </w:r>
      <w:r w:rsidR="00BC6804" w:rsidRPr="00BC6804">
        <w:rPr>
          <w:rFonts w:eastAsia="Times New Roman" w:cstheme="minorHAnsi"/>
          <w:sz w:val="28"/>
          <w:szCs w:val="28"/>
        </w:rPr>
        <w:t>.</w:t>
      </w:r>
      <w:r w:rsidR="00BC6804">
        <w:rPr>
          <w:rFonts w:eastAsia="Times New Roman" w:cstheme="minorHAnsi"/>
          <w:sz w:val="28"/>
          <w:szCs w:val="28"/>
        </w:rPr>
        <w:br/>
      </w:r>
    </w:p>
    <w:p w14:paraId="0E02D85C" w14:textId="191BB1BE" w:rsidR="00E00132" w:rsidRPr="00E00132" w:rsidRDefault="00E00132">
      <w:pPr>
        <w:rPr>
          <w:rFonts w:cstheme="minorHAnsi"/>
          <w:sz w:val="24"/>
          <w:szCs w:val="24"/>
        </w:rPr>
      </w:pPr>
      <w:r w:rsidRPr="00E00132">
        <w:rPr>
          <w:rFonts w:eastAsia="Times New Roman" w:cstheme="minorHAnsi"/>
          <w:sz w:val="24"/>
          <w:szCs w:val="24"/>
        </w:rPr>
        <w:t>EML</w:t>
      </w:r>
      <w:r w:rsidR="007A30F7">
        <w:rPr>
          <w:rFonts w:eastAsia="Times New Roman" w:cstheme="minorHAnsi"/>
          <w:sz w:val="24"/>
          <w:szCs w:val="24"/>
        </w:rPr>
        <w:t xml:space="preserve">: </w:t>
      </w:r>
      <w:r w:rsidR="00257F3F" w:rsidRPr="00257F3F">
        <w:rPr>
          <w:rFonts w:eastAsia="Times New Roman" w:cstheme="minorHAnsi"/>
          <w:sz w:val="24"/>
          <w:szCs w:val="24"/>
        </w:rPr>
        <w:t>ZIEL/2025/1218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7153F" w14:textId="77777777" w:rsidR="007341CA" w:rsidRDefault="007341CA" w:rsidP="00D420C8">
      <w:pPr>
        <w:spacing w:after="0" w:line="240" w:lineRule="auto"/>
      </w:pPr>
      <w:r>
        <w:separator/>
      </w:r>
    </w:p>
  </w:endnote>
  <w:endnote w:type="continuationSeparator" w:id="0">
    <w:p w14:paraId="08EAFA76" w14:textId="77777777" w:rsidR="007341CA" w:rsidRDefault="007341CA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FC9B" w14:textId="77777777" w:rsidR="007341CA" w:rsidRDefault="007341CA" w:rsidP="00D420C8">
      <w:pPr>
        <w:spacing w:after="0" w:line="240" w:lineRule="auto"/>
      </w:pPr>
      <w:r>
        <w:separator/>
      </w:r>
    </w:p>
  </w:footnote>
  <w:footnote w:type="continuationSeparator" w:id="0">
    <w:p w14:paraId="5D4E0800" w14:textId="77777777" w:rsidR="007341CA" w:rsidRDefault="007341CA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D3EE0"/>
    <w:rsid w:val="00214A5E"/>
    <w:rsid w:val="00230B82"/>
    <w:rsid w:val="00235E49"/>
    <w:rsid w:val="00257F3F"/>
    <w:rsid w:val="002B1536"/>
    <w:rsid w:val="00334E00"/>
    <w:rsid w:val="00391508"/>
    <w:rsid w:val="003C16E9"/>
    <w:rsid w:val="004645DC"/>
    <w:rsid w:val="00486CFF"/>
    <w:rsid w:val="00494144"/>
    <w:rsid w:val="004A5439"/>
    <w:rsid w:val="004C1CB6"/>
    <w:rsid w:val="004C5B8F"/>
    <w:rsid w:val="00517C67"/>
    <w:rsid w:val="00564AB2"/>
    <w:rsid w:val="006D31E8"/>
    <w:rsid w:val="007341CA"/>
    <w:rsid w:val="00781CD5"/>
    <w:rsid w:val="00783C65"/>
    <w:rsid w:val="007A30F7"/>
    <w:rsid w:val="007A5234"/>
    <w:rsid w:val="007A5B1E"/>
    <w:rsid w:val="007C017B"/>
    <w:rsid w:val="009B2CEE"/>
    <w:rsid w:val="009C7BD4"/>
    <w:rsid w:val="00A40CD5"/>
    <w:rsid w:val="00AD642C"/>
    <w:rsid w:val="00AE08EF"/>
    <w:rsid w:val="00B44F4E"/>
    <w:rsid w:val="00B7116B"/>
    <w:rsid w:val="00BC0581"/>
    <w:rsid w:val="00BC0ED5"/>
    <w:rsid w:val="00BC6804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F45F81"/>
    <w:rsid w:val="00F97531"/>
    <w:rsid w:val="00FC2EA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39</cp:revision>
  <dcterms:created xsi:type="dcterms:W3CDTF">2024-05-16T08:00:00Z</dcterms:created>
  <dcterms:modified xsi:type="dcterms:W3CDTF">2025-03-26T10:06:00Z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