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27CF2DC4" w:rsidR="003478E0" w:rsidRDefault="00A441E8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43E96F43" wp14:editId="41D65252">
            <wp:simplePos x="0" y="0"/>
            <wp:positionH relativeFrom="column">
              <wp:posOffset>3700780</wp:posOffset>
            </wp:positionH>
            <wp:positionV relativeFrom="paragraph">
              <wp:posOffset>403225</wp:posOffset>
            </wp:positionV>
            <wp:extent cx="2379962" cy="4282440"/>
            <wp:effectExtent l="0" t="0" r="1905" b="3810"/>
            <wp:wrapNone/>
            <wp:docPr id="16006461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62" cy="428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BC6">
        <w:rPr>
          <w:sz w:val="48"/>
          <w:szCs w:val="48"/>
        </w:rPr>
        <w:t>MIESZANKI</w:t>
      </w:r>
      <w:r w:rsidR="003C0613" w:rsidRPr="00FF0A9C">
        <w:rPr>
          <w:sz w:val="48"/>
          <w:szCs w:val="48"/>
        </w:rPr>
        <w:t xml:space="preserve"> APTECZN</w:t>
      </w:r>
      <w:r w:rsidR="00560BC6">
        <w:rPr>
          <w:sz w:val="48"/>
          <w:szCs w:val="48"/>
        </w:rPr>
        <w:t>E</w:t>
      </w:r>
      <w:r w:rsidR="003C0613" w:rsidRPr="00FF0A9C">
        <w:rPr>
          <w:b/>
          <w:bCs/>
          <w:sz w:val="48"/>
          <w:szCs w:val="48"/>
        </w:rPr>
        <w:t xml:space="preserve"> </w:t>
      </w:r>
      <w:r w:rsidR="00560BC6">
        <w:rPr>
          <w:b/>
          <w:bCs/>
          <w:sz w:val="48"/>
          <w:szCs w:val="48"/>
        </w:rPr>
        <w:t>VAGOSAN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 w:rsidR="00560BC6">
        <w:rPr>
          <w:sz w:val="28"/>
          <w:szCs w:val="28"/>
        </w:rPr>
        <w:t>00</w:t>
      </w:r>
      <w:r w:rsidR="003C0613" w:rsidRPr="000D3EE0">
        <w:rPr>
          <w:sz w:val="28"/>
          <w:szCs w:val="28"/>
        </w:rPr>
        <w:t xml:space="preserve"> g </w:t>
      </w:r>
      <w:r w:rsidR="003C0613">
        <w:rPr>
          <w:sz w:val="28"/>
          <w:szCs w:val="28"/>
        </w:rPr>
        <w:br/>
      </w:r>
    </w:p>
    <w:p w14:paraId="6F1E9A13" w14:textId="515959B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7AFF7A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11712136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902FFF6" w14:textId="31A4701B" w:rsidR="007960BE" w:rsidRPr="007960BE" w:rsidRDefault="003C0613" w:rsidP="007960BE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>Polecany</w:t>
      </w:r>
      <w:r w:rsidR="007960BE">
        <w:rPr>
          <w:b/>
          <w:bCs/>
          <w:sz w:val="32"/>
          <w:szCs w:val="32"/>
        </w:rPr>
        <w:t xml:space="preserve"> w łagodnych stanach </w:t>
      </w:r>
      <w:r w:rsidR="007960BE">
        <w:rPr>
          <w:b/>
          <w:bCs/>
          <w:sz w:val="32"/>
          <w:szCs w:val="32"/>
        </w:rPr>
        <w:br/>
        <w:t>zapalnych kobiecych narządów</w:t>
      </w:r>
      <w:r w:rsidR="007960BE">
        <w:rPr>
          <w:b/>
          <w:bCs/>
          <w:sz w:val="32"/>
          <w:szCs w:val="32"/>
        </w:rPr>
        <w:br/>
        <w:t xml:space="preserve">płciowych. </w:t>
      </w:r>
    </w:p>
    <w:p w14:paraId="57B1868B" w14:textId="7BED4DD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07EED980" w:rsidR="003478E0" w:rsidRDefault="00EB368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/>
      </w:r>
    </w:p>
    <w:p w14:paraId="1C5B6ADE" w14:textId="5064B00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12B48FD2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391EF7F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42D2455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3C56C32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79EAC2FF" w:rsidR="003C0613" w:rsidRDefault="007960BE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Vagosan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Produkt złożony. Zioła do zaparzania.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do stosowania w wymienionych wskazaniach, wynikających wyłącznie z jego długotrwałego stosowania. Tradycyjny produkt leczniczy roślinny stosowany do przemywania okolicy zewnętrznych kobiecych narządów płciowych (wargi sromowe) w łagodnych stanach zapalnych.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03E1D343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497369EE" w:rsidR="003C0613" w:rsidRDefault="003C0613">
      <w:r>
        <w:t xml:space="preserve">NUMER EML: </w:t>
      </w:r>
      <w:r w:rsidR="00560BC6" w:rsidRPr="00560BC6">
        <w:t>ZIEL/2026/403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3478E0"/>
    <w:rsid w:val="003C0613"/>
    <w:rsid w:val="00471879"/>
    <w:rsid w:val="00560BC6"/>
    <w:rsid w:val="005853B3"/>
    <w:rsid w:val="007960BE"/>
    <w:rsid w:val="00A441E8"/>
    <w:rsid w:val="00EB368B"/>
    <w:rsid w:val="00F11151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777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5</cp:revision>
  <dcterms:created xsi:type="dcterms:W3CDTF">2026-01-30T10:07:00Z</dcterms:created>
  <dcterms:modified xsi:type="dcterms:W3CDTF">2026-01-30T15:45:00Z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